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393C" w:rsidR="00CE3D13" w:rsidP="00466A85" w:rsidRDefault="00CE3D13" w14:paraId="5F43DD77" w14:textId="11D22E31">
      <w:pPr>
        <w:spacing w:after="240" w:line="276" w:lineRule="auto"/>
        <w:jc w:val="center"/>
        <w:rPr>
          <w:rFonts w:ascii="Times New Roman" w:hAnsi="Times New Roman" w:cs="Times New Roman"/>
          <w:b/>
          <w:bCs/>
          <w:sz w:val="24"/>
          <w:szCs w:val="24"/>
        </w:rPr>
      </w:pPr>
      <w:r>
        <w:rPr>
          <w:rFonts w:ascii="Times New Roman" w:hAnsi="Times New Roman" w:cs="Times New Roman"/>
          <w:b/>
          <w:bCs/>
          <w:sz w:val="24"/>
          <w:szCs w:val="24"/>
        </w:rPr>
        <w:t>Juhend toetuse saajale k</w:t>
      </w:r>
      <w:r w:rsidRPr="0093393C">
        <w:rPr>
          <w:rFonts w:ascii="Times New Roman" w:hAnsi="Times New Roman" w:cs="Times New Roman"/>
          <w:b/>
          <w:bCs/>
          <w:sz w:val="24"/>
          <w:szCs w:val="24"/>
        </w:rPr>
        <w:t xml:space="preserve">eskkonnahoidlike tegevuste </w:t>
      </w:r>
      <w:r>
        <w:rPr>
          <w:rFonts w:ascii="Times New Roman" w:hAnsi="Times New Roman" w:cs="Times New Roman"/>
          <w:b/>
          <w:bCs/>
          <w:sz w:val="24"/>
          <w:szCs w:val="24"/>
        </w:rPr>
        <w:t>elluviimiseks</w:t>
      </w:r>
    </w:p>
    <w:p w:rsidR="00436BAD" w:rsidP="00436BAD" w:rsidRDefault="00CE3D13" w14:paraId="202B67D4" w14:textId="6320000B">
      <w:pPr>
        <w:pStyle w:val="NormalWeb"/>
        <w:spacing w:before="0" w:beforeAutospacing="0" w:after="0" w:afterAutospacing="0" w:line="276" w:lineRule="auto"/>
        <w:contextualSpacing/>
        <w:jc w:val="both"/>
        <w:rPr>
          <w:color w:val="000000"/>
        </w:rPr>
      </w:pPr>
      <w:r w:rsidRPr="0093393C">
        <w:rPr>
          <w:color w:val="000000"/>
        </w:rPr>
        <w:t>Perioodi 2021–2027 Euroopa Liidu ühtekuuluvuspoliitika</w:t>
      </w:r>
      <w:r w:rsidR="007F53C6">
        <w:rPr>
          <w:color w:val="000000"/>
        </w:rPr>
        <w:t xml:space="preserve"> (edaspidi </w:t>
      </w:r>
      <w:r w:rsidRPr="007F53C6" w:rsidR="007F53C6">
        <w:rPr>
          <w:i/>
          <w:iCs/>
          <w:color w:val="000000"/>
        </w:rPr>
        <w:t>ÜKP</w:t>
      </w:r>
      <w:r w:rsidR="007F53C6">
        <w:rPr>
          <w:color w:val="000000"/>
        </w:rPr>
        <w:t>)</w:t>
      </w:r>
      <w:r w:rsidRPr="0093393C">
        <w:rPr>
          <w:color w:val="000000"/>
        </w:rPr>
        <w:t xml:space="preserve"> fondide rakenduskava DNSH</w:t>
      </w:r>
      <w:r w:rsidR="007F53C6">
        <w:rPr>
          <w:color w:val="000000"/>
        </w:rPr>
        <w:t xml:space="preserve"> (</w:t>
      </w:r>
      <w:r w:rsidRPr="0093393C" w:rsidR="007F53C6">
        <w:rPr>
          <w:color w:val="000000"/>
        </w:rPr>
        <w:t>ingl</w:t>
      </w:r>
      <w:r w:rsidR="007F53C6">
        <w:rPr>
          <w:color w:val="000000"/>
        </w:rPr>
        <w:t>ise keeles</w:t>
      </w:r>
      <w:r w:rsidRPr="0093393C" w:rsidR="007F53C6">
        <w:rPr>
          <w:color w:val="000000"/>
        </w:rPr>
        <w:t xml:space="preserve"> </w:t>
      </w:r>
      <w:r w:rsidR="007F53C6">
        <w:rPr>
          <w:color w:val="000000"/>
        </w:rPr>
        <w:t>„</w:t>
      </w:r>
      <w:r w:rsidR="007F53C6">
        <w:rPr>
          <w:i/>
          <w:iCs/>
          <w:color w:val="000000"/>
        </w:rPr>
        <w:t>d</w:t>
      </w:r>
      <w:r w:rsidRPr="0093393C" w:rsidR="007F53C6">
        <w:rPr>
          <w:i/>
          <w:iCs/>
          <w:color w:val="000000"/>
        </w:rPr>
        <w:t xml:space="preserve">o no </w:t>
      </w:r>
      <w:proofErr w:type="spellStart"/>
      <w:r w:rsidRPr="0093393C" w:rsidR="007F53C6">
        <w:rPr>
          <w:i/>
          <w:iCs/>
          <w:color w:val="000000"/>
        </w:rPr>
        <w:t>significant</w:t>
      </w:r>
      <w:proofErr w:type="spellEnd"/>
      <w:r w:rsidRPr="0093393C" w:rsidR="007F53C6">
        <w:rPr>
          <w:i/>
          <w:iCs/>
          <w:color w:val="000000"/>
        </w:rPr>
        <w:t xml:space="preserve"> </w:t>
      </w:r>
      <w:proofErr w:type="spellStart"/>
      <w:r w:rsidRPr="0093393C" w:rsidR="007F53C6">
        <w:rPr>
          <w:i/>
          <w:iCs/>
          <w:color w:val="000000"/>
        </w:rPr>
        <w:t>harm</w:t>
      </w:r>
      <w:proofErr w:type="spellEnd"/>
      <w:r w:rsidR="007F53C6">
        <w:rPr>
          <w:color w:val="000000"/>
        </w:rPr>
        <w:t xml:space="preserve">“ </w:t>
      </w:r>
      <w:r w:rsidRPr="0093393C" w:rsidR="007F53C6">
        <w:rPr>
          <w:color w:val="000000"/>
        </w:rPr>
        <w:t xml:space="preserve">ehk </w:t>
      </w:r>
      <w:r w:rsidR="007F53C6">
        <w:rPr>
          <w:color w:val="000000"/>
        </w:rPr>
        <w:t>„</w:t>
      </w:r>
      <w:r w:rsidRPr="0093393C" w:rsidR="007F53C6">
        <w:rPr>
          <w:color w:val="000000"/>
        </w:rPr>
        <w:t>ei kahjusta oluliselt</w:t>
      </w:r>
      <w:r w:rsidR="007F53C6">
        <w:rPr>
          <w:color w:val="000000"/>
        </w:rPr>
        <w:t xml:space="preserve">“) analüüs </w:t>
      </w:r>
      <w:r w:rsidRPr="0093393C">
        <w:rPr>
          <w:color w:val="000000"/>
        </w:rPr>
        <w:t xml:space="preserve">ei tuvastanud </w:t>
      </w:r>
      <w:r w:rsidR="00436BAD">
        <w:rPr>
          <w:color w:val="000000"/>
        </w:rPr>
        <w:t xml:space="preserve">Sotsiaalministeeriumi </w:t>
      </w:r>
      <w:r w:rsidRPr="0093393C">
        <w:rPr>
          <w:color w:val="000000"/>
        </w:rPr>
        <w:t>meetme</w:t>
      </w:r>
      <w:r>
        <w:rPr>
          <w:color w:val="000000"/>
        </w:rPr>
        <w:t>(te)</w:t>
      </w:r>
      <w:r w:rsidRPr="0093393C">
        <w:rPr>
          <w:color w:val="000000"/>
        </w:rPr>
        <w:t xml:space="preserve">l potentsiaalselt olulist kahju </w:t>
      </w:r>
      <w:r w:rsidRPr="00D77DD5">
        <w:rPr>
          <w:color w:val="000000"/>
        </w:rPr>
        <w:t xml:space="preserve">taksonoomiamääruse </w:t>
      </w:r>
      <w:hyperlink w:history="1" r:id="rId12">
        <w:r>
          <w:rPr>
            <w:rStyle w:val="Hyperlink"/>
          </w:rPr>
          <w:t>(EL) 2</w:t>
        </w:r>
        <w:r w:rsidRPr="00D77DD5">
          <w:rPr>
            <w:rStyle w:val="Hyperlink"/>
          </w:rPr>
          <w:t>020/852</w:t>
        </w:r>
      </w:hyperlink>
      <w:r w:rsidR="000179AD">
        <w:rPr>
          <w:rStyle w:val="FootnoteReference"/>
          <w:color w:val="0563C1" w:themeColor="hyperlink"/>
          <w:u w:val="single"/>
        </w:rPr>
        <w:footnoteReference w:id="1"/>
      </w:r>
      <w:r w:rsidRPr="00D77DD5">
        <w:rPr>
          <w:color w:val="000000"/>
        </w:rPr>
        <w:t xml:space="preserve"> artiklis </w:t>
      </w:r>
      <w:r>
        <w:rPr>
          <w:color w:val="000000"/>
        </w:rPr>
        <w:t xml:space="preserve">9 sätestatud </w:t>
      </w:r>
      <w:r w:rsidRPr="0093393C">
        <w:rPr>
          <w:color w:val="000000"/>
        </w:rPr>
        <w:t>keskkonnaeesmärkidele</w:t>
      </w:r>
      <w:r w:rsidR="00436BAD">
        <w:rPr>
          <w:color w:val="000000"/>
        </w:rPr>
        <w:t xml:space="preserve">: </w:t>
      </w:r>
    </w:p>
    <w:p w:rsidR="00436BAD" w:rsidP="00436BAD" w:rsidRDefault="00436BAD" w14:paraId="3D461D93" w14:textId="1A8AEFE4">
      <w:pPr>
        <w:pStyle w:val="NormalWeb"/>
        <w:numPr>
          <w:ilvl w:val="0"/>
          <w:numId w:val="4"/>
        </w:numPr>
        <w:spacing w:before="0" w:beforeAutospacing="0" w:after="0" w:afterAutospacing="0" w:line="276" w:lineRule="auto"/>
        <w:ind w:left="714" w:hanging="357"/>
        <w:contextualSpacing/>
        <w:jc w:val="both"/>
      </w:pPr>
      <w:r>
        <w:t>kliimamuutuste leevendamine;</w:t>
      </w:r>
    </w:p>
    <w:p w:rsidR="00436BAD" w:rsidP="00436BAD" w:rsidRDefault="00436BAD" w14:paraId="2419E829" w14:textId="22B24DFD">
      <w:pPr>
        <w:pStyle w:val="NormalWeb"/>
        <w:numPr>
          <w:ilvl w:val="0"/>
          <w:numId w:val="4"/>
        </w:numPr>
        <w:spacing w:before="0" w:beforeAutospacing="0" w:after="0" w:afterAutospacing="0" w:line="276" w:lineRule="auto"/>
        <w:ind w:left="714" w:hanging="357"/>
        <w:contextualSpacing/>
        <w:jc w:val="both"/>
      </w:pPr>
      <w:r>
        <w:t>kliimamuutustega kohanemine;</w:t>
      </w:r>
    </w:p>
    <w:p w:rsidR="00436BAD" w:rsidP="00436BAD" w:rsidRDefault="00436BAD" w14:paraId="518675E1" w14:textId="1F03260F">
      <w:pPr>
        <w:pStyle w:val="NormalWeb"/>
        <w:numPr>
          <w:ilvl w:val="0"/>
          <w:numId w:val="4"/>
        </w:numPr>
        <w:spacing w:before="0" w:beforeAutospacing="0" w:after="0" w:afterAutospacing="0" w:line="276" w:lineRule="auto"/>
        <w:ind w:left="714" w:hanging="357"/>
        <w:contextualSpacing/>
        <w:jc w:val="both"/>
      </w:pPr>
      <w:r>
        <w:t>vee ja mereressursside kestlik kasutamine ja kaitse;</w:t>
      </w:r>
    </w:p>
    <w:p w:rsidR="00436BAD" w:rsidP="00436BAD" w:rsidRDefault="00436BAD" w14:paraId="41C1DD1F" w14:textId="4445A0F3">
      <w:pPr>
        <w:pStyle w:val="NormalWeb"/>
        <w:numPr>
          <w:ilvl w:val="0"/>
          <w:numId w:val="4"/>
        </w:numPr>
        <w:spacing w:before="0" w:beforeAutospacing="0" w:after="0" w:afterAutospacing="0" w:line="276" w:lineRule="auto"/>
        <w:ind w:left="714" w:hanging="357"/>
        <w:contextualSpacing/>
        <w:jc w:val="both"/>
      </w:pPr>
      <w:r>
        <w:t>üleminek ringmajandusele;</w:t>
      </w:r>
    </w:p>
    <w:p w:rsidR="00436BAD" w:rsidP="00436BAD" w:rsidRDefault="00436BAD" w14:paraId="01674786" w14:textId="154E2F8B">
      <w:pPr>
        <w:pStyle w:val="NormalWeb"/>
        <w:numPr>
          <w:ilvl w:val="0"/>
          <w:numId w:val="4"/>
        </w:numPr>
        <w:spacing w:before="0" w:beforeAutospacing="0" w:after="0" w:afterAutospacing="0" w:line="276" w:lineRule="auto"/>
        <w:ind w:left="714" w:hanging="357"/>
        <w:contextualSpacing/>
        <w:jc w:val="both"/>
      </w:pPr>
      <w:r>
        <w:t>saastuse vältimine ja tõrje;</w:t>
      </w:r>
    </w:p>
    <w:p w:rsidR="00CE3D13" w:rsidP="00436BAD" w:rsidRDefault="00436BAD" w14:paraId="4993FC1E" w14:textId="3FF0C531">
      <w:pPr>
        <w:pStyle w:val="NormalWeb"/>
        <w:numPr>
          <w:ilvl w:val="0"/>
          <w:numId w:val="4"/>
        </w:numPr>
        <w:spacing w:after="240" w:line="276" w:lineRule="auto"/>
        <w:ind w:left="714" w:hanging="357"/>
        <w:jc w:val="both"/>
      </w:pPr>
      <w:r>
        <w:t>elurikkuse ja ökosüsteemide kaitse ja taastamine.</w:t>
      </w:r>
    </w:p>
    <w:p w:rsidR="00285CF8" w:rsidP="60AED27D" w:rsidRDefault="00CE3D13" w14:paraId="64661BAD" w14:textId="77777777">
      <w:pPr>
        <w:pStyle w:val="NormalWeb"/>
        <w:spacing w:before="0" w:beforeAutospacing="off" w:after="240" w:afterAutospacing="off" w:line="276" w:lineRule="auto"/>
        <w:jc w:val="both"/>
        <w:rPr>
          <w:color w:val="000000"/>
        </w:rPr>
      </w:pPr>
      <w:r w:rsidRPr="005032A9" w:rsidR="00CE3D13">
        <w:rPr>
          <w:color w:val="000000"/>
        </w:rPr>
        <w:t>EL</w:t>
      </w:r>
      <w:r w:rsidR="00CE3D13">
        <w:rPr>
          <w:color w:val="000000"/>
        </w:rPr>
        <w:t>-</w:t>
      </w:r>
      <w:r w:rsidRPr="005032A9" w:rsidR="00CE3D13">
        <w:rPr>
          <w:color w:val="000000"/>
        </w:rPr>
        <w:t>i</w:t>
      </w:r>
      <w:r w:rsidR="00CE3D13">
        <w:rPr>
          <w:color w:val="000000"/>
        </w:rPr>
        <w:t xml:space="preserve"> </w:t>
      </w:r>
      <w:proofErr w:type="spellStart"/>
      <w:r w:rsidRPr="005032A9" w:rsidR="00CE3D13">
        <w:rPr>
          <w:color w:val="000000"/>
        </w:rPr>
        <w:t>ühissätete</w:t>
      </w:r>
      <w:proofErr w:type="spellEnd"/>
      <w:r w:rsidRPr="005032A9" w:rsidR="00CE3D13">
        <w:rPr>
          <w:color w:val="000000"/>
        </w:rPr>
        <w:t xml:space="preserve"> määrus</w:t>
      </w:r>
      <w:r w:rsidR="00CE3D13">
        <w:rPr>
          <w:color w:val="000000"/>
        </w:rPr>
        <w:t xml:space="preserve">e </w:t>
      </w:r>
      <w:hyperlink w:history="1" r:id="R601780c0e6f9473c">
        <w:r w:rsidRPr="005032A9" w:rsidR="00CE3D13">
          <w:rPr>
            <w:rStyle w:val="Hyperlink"/>
          </w:rPr>
          <w:t>(EL) 2021/1060</w:t>
        </w:r>
      </w:hyperlink>
      <w:r w:rsidR="000179AD">
        <w:rPr>
          <w:rStyle w:val="FootnoteReference"/>
          <w:color w:val="0563C1" w:themeColor="hyperlink"/>
          <w:u w:val="single"/>
        </w:rPr>
        <w:footnoteReference w:id="2"/>
      </w:r>
      <w:r w:rsidR="00CE3D13">
        <w:rPr>
          <w:color w:val="000000"/>
        </w:rPr>
        <w:t xml:space="preserve"> kohaselt tuleks</w:t>
      </w:r>
      <w:r w:rsidRPr="005032A9" w:rsidR="00CE3D13">
        <w:rPr>
          <w:color w:val="000000"/>
        </w:rPr>
        <w:t xml:space="preserve"> </w:t>
      </w:r>
      <w:r w:rsidR="00CE3D13">
        <w:rPr>
          <w:color w:val="000000"/>
        </w:rPr>
        <w:t>f</w:t>
      </w:r>
      <w:r w:rsidRPr="00A35C9D" w:rsidR="00CE3D13">
        <w:rPr>
          <w:color w:val="000000"/>
        </w:rPr>
        <w:t>ondide eesmärke ellu</w:t>
      </w:r>
      <w:r w:rsidRPr="000C0BFA" w:rsidR="00CE3D13">
        <w:rPr>
          <w:color w:val="000000"/>
        </w:rPr>
        <w:t xml:space="preserve"> viia </w:t>
      </w:r>
      <w:r w:rsidRPr="000C0BFA" w:rsidR="00CE3D13">
        <w:rPr>
          <w:b w:val="1"/>
          <w:bCs w:val="1"/>
          <w:color w:val="000000"/>
        </w:rPr>
        <w:t>kestliku arengu</w:t>
      </w:r>
      <w:r w:rsidRPr="00A35C9D" w:rsidR="00CE3D13">
        <w:rPr>
          <w:color w:val="000000"/>
        </w:rPr>
        <w:t xml:space="preserve"> raames</w:t>
      </w:r>
      <w:r w:rsidR="00CE3D13">
        <w:rPr>
          <w:color w:val="000000"/>
        </w:rPr>
        <w:t xml:space="preserve">, </w:t>
      </w:r>
      <w:r w:rsidRPr="00A35C9D" w:rsidR="00CE3D13">
        <w:rPr>
          <w:color w:val="000000"/>
        </w:rPr>
        <w:t>edenda</w:t>
      </w:r>
      <w:r w:rsidR="00CE3D13">
        <w:rPr>
          <w:color w:val="000000"/>
        </w:rPr>
        <w:t>des</w:t>
      </w:r>
      <w:r w:rsidRPr="00A35C9D" w:rsidR="00CE3D13">
        <w:rPr>
          <w:color w:val="000000"/>
        </w:rPr>
        <w:t xml:space="preserve"> keskkonna säilitamise, kaitse ja selle kvaliteedi parandamise eesmärke, nagu on sätestatud </w:t>
      </w:r>
      <w:hyperlink w:history="1" r:id="R9ee2ffda37e44935">
        <w:r w:rsidRPr="00B075AA" w:rsidR="00CE3D13">
          <w:rPr>
            <w:rStyle w:val="Hyperlink"/>
          </w:rPr>
          <w:t>ELi toimimise lepingu</w:t>
        </w:r>
      </w:hyperlink>
      <w:r w:rsidR="000179AD">
        <w:rPr>
          <w:rStyle w:val="FootnoteReference"/>
          <w:color w:val="0563C1" w:themeColor="hyperlink"/>
          <w:u w:val="single"/>
        </w:rPr>
        <w:footnoteReference w:id="3"/>
      </w:r>
      <w:r w:rsidRPr="00A35C9D" w:rsidR="00CE3D13">
        <w:rPr>
          <w:color w:val="000000"/>
        </w:rPr>
        <w:t xml:space="preserve"> artiklis 11 ja artikli 191 lõikes 1, võttes arvesse „saastaja maksab“ põhimõtet, Ühinenud Rahvaste Organisatsiooni </w:t>
      </w:r>
      <w:hyperlink w:history="1" r:id="Rada6c3ce821a433d">
        <w:r w:rsidRPr="00B075AA" w:rsidR="00CE3D13">
          <w:rPr>
            <w:rStyle w:val="Hyperlink"/>
          </w:rPr>
          <w:t>kestliku arengu eesmärke</w:t>
        </w:r>
      </w:hyperlink>
      <w:r w:rsidR="000179AD">
        <w:rPr>
          <w:rStyle w:val="FootnoteReference"/>
          <w:color w:val="0563C1" w:themeColor="hyperlink"/>
          <w:u w:val="single"/>
        </w:rPr>
        <w:footnoteReference w:id="4"/>
      </w:r>
      <w:r w:rsidRPr="00A35C9D" w:rsidR="00CE3D13">
        <w:rPr>
          <w:color w:val="000000"/>
        </w:rPr>
        <w:t xml:space="preserve"> ning </w:t>
      </w:r>
      <w:r w:rsidR="00CE3D13">
        <w:rPr>
          <w:color w:val="000000"/>
        </w:rPr>
        <w:t xml:space="preserve">ÜRO </w:t>
      </w:r>
      <w:r w:rsidRPr="00A35C9D" w:rsidR="00CE3D13">
        <w:rPr>
          <w:color w:val="000000"/>
        </w:rPr>
        <w:t xml:space="preserve">kliimamuutuste raamkonventsiooni alusel vastu võetud </w:t>
      </w:r>
      <w:hyperlink w:history="1" r:id="Rdc61f01f198a448d">
        <w:r w:rsidRPr="00B075AA" w:rsidR="00CE3D13">
          <w:rPr>
            <w:rStyle w:val="Hyperlink"/>
          </w:rPr>
          <w:t>Pariisi kokkulepet</w:t>
        </w:r>
      </w:hyperlink>
      <w:r w:rsidR="000179AD">
        <w:rPr>
          <w:rStyle w:val="FootnoteReference"/>
          <w:color w:val="0563C1" w:themeColor="hyperlink"/>
          <w:u w:val="single"/>
        </w:rPr>
        <w:footnoteReference w:id="5"/>
      </w:r>
      <w:r w:rsidR="00CE3D13">
        <w:rPr>
          <w:color w:val="000000"/>
        </w:rPr>
        <w:t xml:space="preserve">. </w:t>
      </w:r>
    </w:p>
    <w:p w:rsidR="00285CF8" w:rsidP="00466A85" w:rsidRDefault="00263F5A" w14:paraId="4A8E61F2" w14:textId="4F13E4DA">
      <w:pPr>
        <w:pStyle w:val="NormalWeb"/>
        <w:spacing w:before="0" w:beforeAutospacing="0" w:after="240" w:afterAutospacing="0" w:line="276" w:lineRule="auto"/>
        <w:jc w:val="both"/>
        <w:rPr>
          <w:color w:val="000000"/>
        </w:rPr>
      </w:pPr>
      <w:r>
        <w:rPr>
          <w:color w:val="000000"/>
        </w:rPr>
        <w:t xml:space="preserve">Seega ei </w:t>
      </w:r>
      <w:r w:rsidR="00365E15">
        <w:rPr>
          <w:color w:val="000000"/>
        </w:rPr>
        <w:t>ole</w:t>
      </w:r>
      <w:r>
        <w:rPr>
          <w:color w:val="000000"/>
        </w:rPr>
        <w:t xml:space="preserve"> </w:t>
      </w:r>
      <w:r w:rsidR="00C77BB1">
        <w:rPr>
          <w:color w:val="000000"/>
        </w:rPr>
        <w:t>ÜKP fondidest</w:t>
      </w:r>
      <w:r w:rsidR="00285CF8">
        <w:rPr>
          <w:color w:val="000000"/>
        </w:rPr>
        <w:t xml:space="preserve"> </w:t>
      </w:r>
      <w:r w:rsidR="00CE3D13">
        <w:rPr>
          <w:color w:val="000000"/>
        </w:rPr>
        <w:t>t</w:t>
      </w:r>
      <w:r w:rsidRPr="0093393C" w:rsidR="00CE3D13">
        <w:rPr>
          <w:color w:val="000000"/>
        </w:rPr>
        <w:t>oetat</w:t>
      </w:r>
      <w:r w:rsidR="00CE3D13">
        <w:rPr>
          <w:color w:val="000000"/>
        </w:rPr>
        <w:t>ava</w:t>
      </w:r>
      <w:r>
        <w:rPr>
          <w:color w:val="000000"/>
        </w:rPr>
        <w:t>te</w:t>
      </w:r>
      <w:r w:rsidRPr="0093393C" w:rsidR="00CE3D13">
        <w:rPr>
          <w:color w:val="000000"/>
        </w:rPr>
        <w:t xml:space="preserve"> tegevus</w:t>
      </w:r>
      <w:r>
        <w:rPr>
          <w:color w:val="000000"/>
        </w:rPr>
        <w:t>te elluviimisel</w:t>
      </w:r>
      <w:r w:rsidRPr="0093393C" w:rsidR="00CE3D13">
        <w:rPr>
          <w:color w:val="000000"/>
        </w:rPr>
        <w:t xml:space="preserve"> </w:t>
      </w:r>
      <w:r w:rsidR="00365E15">
        <w:rPr>
          <w:color w:val="000000"/>
        </w:rPr>
        <w:t>piisav ja mõistlik ainuüksi</w:t>
      </w:r>
      <w:r>
        <w:rPr>
          <w:color w:val="000000"/>
        </w:rPr>
        <w:t xml:space="preserve"> </w:t>
      </w:r>
      <w:r w:rsidR="00365E15">
        <w:rPr>
          <w:color w:val="000000"/>
        </w:rPr>
        <w:t xml:space="preserve">suund </w:t>
      </w:r>
      <w:r w:rsidRPr="0093393C" w:rsidR="00CE3D13">
        <w:rPr>
          <w:color w:val="000000"/>
        </w:rPr>
        <w:t>negatiivse</w:t>
      </w:r>
      <w:r>
        <w:rPr>
          <w:color w:val="000000"/>
        </w:rPr>
        <w:t>te</w:t>
      </w:r>
      <w:r w:rsidRPr="0093393C" w:rsidR="00CE3D13">
        <w:rPr>
          <w:color w:val="000000"/>
        </w:rPr>
        <w:t xml:space="preserve"> keskkonnamõjud</w:t>
      </w:r>
      <w:r>
        <w:rPr>
          <w:color w:val="000000"/>
        </w:rPr>
        <w:t xml:space="preserve">e </w:t>
      </w:r>
      <w:r w:rsidR="00365E15">
        <w:rPr>
          <w:color w:val="000000"/>
        </w:rPr>
        <w:t xml:space="preserve">vähendamisele ja/või </w:t>
      </w:r>
      <w:r>
        <w:rPr>
          <w:color w:val="000000"/>
        </w:rPr>
        <w:t>vältimis</w:t>
      </w:r>
      <w:r w:rsidR="00365E15">
        <w:rPr>
          <w:color w:val="000000"/>
        </w:rPr>
        <w:t>el</w:t>
      </w:r>
      <w:r w:rsidR="00285CF8">
        <w:rPr>
          <w:color w:val="000000"/>
        </w:rPr>
        <w:t>e. T</w:t>
      </w:r>
      <w:r w:rsidR="00365E15">
        <w:rPr>
          <w:color w:val="000000"/>
        </w:rPr>
        <w:t xml:space="preserve">oetuse taotlejatel tuleks </w:t>
      </w:r>
      <w:r w:rsidR="00285CF8">
        <w:rPr>
          <w:color w:val="000000"/>
        </w:rPr>
        <w:t xml:space="preserve">läbimõeldult panustada </w:t>
      </w:r>
      <w:r w:rsidRPr="0093393C" w:rsidR="00285CF8">
        <w:rPr>
          <w:color w:val="000000"/>
        </w:rPr>
        <w:t>keskkonnahoiu</w:t>
      </w:r>
      <w:r w:rsidR="00285CF8">
        <w:rPr>
          <w:color w:val="000000"/>
        </w:rPr>
        <w:t xml:space="preserve"> tagamisse ka juhul, </w:t>
      </w:r>
      <w:r w:rsidR="005E0F88">
        <w:rPr>
          <w:color w:val="000000"/>
        </w:rPr>
        <w:t xml:space="preserve">kui toetatava projektiga ei kaasne ilmseid ohte keskkonnale ja rohepöörde väljakutseid. </w:t>
      </w:r>
    </w:p>
    <w:p w:rsidR="00CE3D13" w:rsidP="00466A85" w:rsidRDefault="00CE3D13" w14:paraId="0B6FF31B" w14:textId="631FAFDE">
      <w:pPr>
        <w:pStyle w:val="NormalWeb"/>
        <w:spacing w:before="0" w:beforeAutospacing="0" w:after="240" w:afterAutospacing="0" w:line="276" w:lineRule="auto"/>
        <w:jc w:val="both"/>
        <w:rPr>
          <w:color w:val="000000"/>
        </w:rPr>
      </w:pPr>
      <w:r>
        <w:rPr>
          <w:color w:val="000000"/>
        </w:rPr>
        <w:t>Käesoleva juhendi</w:t>
      </w:r>
      <w:r w:rsidR="005E0F88">
        <w:rPr>
          <w:color w:val="000000"/>
        </w:rPr>
        <w:t xml:space="preserve"> eesmärg on esitada </w:t>
      </w:r>
      <w:r>
        <w:rPr>
          <w:color w:val="000000"/>
        </w:rPr>
        <w:t xml:space="preserve">koondatud </w:t>
      </w:r>
      <w:r w:rsidR="005E0F88">
        <w:rPr>
          <w:color w:val="000000"/>
        </w:rPr>
        <w:t xml:space="preserve">kujul </w:t>
      </w:r>
      <w:r>
        <w:rPr>
          <w:color w:val="000000"/>
        </w:rPr>
        <w:t>(praktilis</w:t>
      </w:r>
      <w:r w:rsidR="005E0F88">
        <w:rPr>
          <w:color w:val="000000"/>
        </w:rPr>
        <w:t>i</w:t>
      </w:r>
      <w:r>
        <w:rPr>
          <w:color w:val="000000"/>
        </w:rPr>
        <w:t>) soovitus</w:t>
      </w:r>
      <w:r w:rsidR="005E0F88">
        <w:rPr>
          <w:color w:val="000000"/>
        </w:rPr>
        <w:t>i</w:t>
      </w:r>
      <w:r>
        <w:rPr>
          <w:color w:val="000000"/>
        </w:rPr>
        <w:t xml:space="preserve"> ja </w:t>
      </w:r>
      <w:r w:rsidR="003501AC">
        <w:rPr>
          <w:color w:val="000000"/>
        </w:rPr>
        <w:t>(parima</w:t>
      </w:r>
      <w:r w:rsidR="005E0F88">
        <w:rPr>
          <w:color w:val="000000"/>
        </w:rPr>
        <w:t>i</w:t>
      </w:r>
      <w:r w:rsidR="003501AC">
        <w:rPr>
          <w:color w:val="000000"/>
        </w:rPr>
        <w:t xml:space="preserve">d) </w:t>
      </w:r>
      <w:r>
        <w:rPr>
          <w:color w:val="000000"/>
        </w:rPr>
        <w:t>näite</w:t>
      </w:r>
      <w:r w:rsidR="005E0F88">
        <w:rPr>
          <w:color w:val="000000"/>
        </w:rPr>
        <w:t>i</w:t>
      </w:r>
      <w:r>
        <w:rPr>
          <w:color w:val="000000"/>
        </w:rPr>
        <w:t xml:space="preserve">d aitamaks toetuse saajatel </w:t>
      </w:r>
      <w:r w:rsidR="003501AC">
        <w:rPr>
          <w:color w:val="000000"/>
        </w:rPr>
        <w:t>läheneda</w:t>
      </w:r>
      <w:r>
        <w:rPr>
          <w:color w:val="000000"/>
        </w:rPr>
        <w:t xml:space="preserve"> projektide rakendamisel</w:t>
      </w:r>
      <w:r w:rsidR="003501AC">
        <w:rPr>
          <w:color w:val="000000"/>
        </w:rPr>
        <w:t>e</w:t>
      </w:r>
      <w:r>
        <w:rPr>
          <w:color w:val="000000"/>
        </w:rPr>
        <w:t xml:space="preserve"> keskkonna</w:t>
      </w:r>
      <w:r w:rsidR="00631869">
        <w:rPr>
          <w:color w:val="000000"/>
        </w:rPr>
        <w:t>säästliku</w:t>
      </w:r>
      <w:r>
        <w:rPr>
          <w:color w:val="000000"/>
        </w:rPr>
        <w:t xml:space="preserve">malt. </w:t>
      </w:r>
      <w:r w:rsidR="005E0F88">
        <w:rPr>
          <w:color w:val="000000"/>
        </w:rPr>
        <w:t xml:space="preserve">Juhendi sisu ei jää </w:t>
      </w:r>
      <w:r w:rsidR="009108BF">
        <w:rPr>
          <w:color w:val="000000"/>
        </w:rPr>
        <w:t xml:space="preserve">rangeks ja </w:t>
      </w:r>
      <w:r w:rsidR="005E0F88">
        <w:rPr>
          <w:color w:val="000000"/>
        </w:rPr>
        <w:t xml:space="preserve">jäigaks, vaid vajadusel on see </w:t>
      </w:r>
      <w:r w:rsidR="009108BF">
        <w:rPr>
          <w:color w:val="000000"/>
        </w:rPr>
        <w:t xml:space="preserve">tarvilikele </w:t>
      </w:r>
      <w:r w:rsidR="005E0F88">
        <w:rPr>
          <w:color w:val="000000"/>
        </w:rPr>
        <w:t>muutustele ja täiendustele</w:t>
      </w:r>
      <w:r w:rsidR="009108BF">
        <w:rPr>
          <w:color w:val="000000"/>
        </w:rPr>
        <w:t xml:space="preserve"> avatud</w:t>
      </w:r>
      <w:r w:rsidR="005E0F88">
        <w:rPr>
          <w:color w:val="000000"/>
        </w:rPr>
        <w:t xml:space="preserve">, </w:t>
      </w:r>
      <w:r w:rsidR="009108BF">
        <w:rPr>
          <w:color w:val="000000"/>
        </w:rPr>
        <w:t>sh</w:t>
      </w:r>
      <w:r w:rsidR="005E0F88">
        <w:rPr>
          <w:color w:val="000000"/>
        </w:rPr>
        <w:t xml:space="preserve"> </w:t>
      </w:r>
      <w:r w:rsidR="009108BF">
        <w:rPr>
          <w:color w:val="000000"/>
        </w:rPr>
        <w:t xml:space="preserve">arvestamaks paremini ja ulatuslikumalt </w:t>
      </w:r>
      <w:r w:rsidR="005E0F88">
        <w:rPr>
          <w:color w:val="000000"/>
        </w:rPr>
        <w:t>toetuse taotlejate endi kogemus</w:t>
      </w:r>
      <w:r w:rsidR="009108BF">
        <w:rPr>
          <w:color w:val="000000"/>
        </w:rPr>
        <w:t>i</w:t>
      </w:r>
      <w:r w:rsidR="005E0F88">
        <w:rPr>
          <w:color w:val="000000"/>
        </w:rPr>
        <w:t xml:space="preserve"> ja tagasiside</w:t>
      </w:r>
      <w:r w:rsidR="009108BF">
        <w:rPr>
          <w:color w:val="000000"/>
        </w:rPr>
        <w:t xml:space="preserve">t. </w:t>
      </w:r>
      <w:r>
        <w:rPr>
          <w:color w:val="000000"/>
        </w:rPr>
        <w:t xml:space="preserve">  </w:t>
      </w:r>
    </w:p>
    <w:p w:rsidR="00CE3D13" w:rsidP="00DF68A6" w:rsidRDefault="00CE3D13" w14:paraId="575EFC21" w14:textId="3F28DEC1">
      <w:pPr>
        <w:pStyle w:val="NormalWeb"/>
        <w:numPr>
          <w:ilvl w:val="0"/>
          <w:numId w:val="2"/>
        </w:numPr>
        <w:spacing w:before="0" w:beforeAutospacing="0" w:after="0" w:afterAutospacing="0" w:line="276" w:lineRule="auto"/>
        <w:ind w:left="357" w:hanging="357"/>
        <w:jc w:val="both"/>
        <w:rPr>
          <w:color w:val="000000"/>
        </w:rPr>
      </w:pPr>
      <w:r>
        <w:rPr>
          <w:color w:val="000000"/>
        </w:rPr>
        <w:t xml:space="preserve">Üldjuhul </w:t>
      </w:r>
      <w:r w:rsidR="009D713F">
        <w:rPr>
          <w:color w:val="000000"/>
        </w:rPr>
        <w:t>peaksid</w:t>
      </w:r>
      <w:r>
        <w:rPr>
          <w:color w:val="000000"/>
        </w:rPr>
        <w:t xml:space="preserve"> </w:t>
      </w:r>
      <w:r w:rsidR="00DF68A6">
        <w:rPr>
          <w:color w:val="000000"/>
        </w:rPr>
        <w:t xml:space="preserve">projekti raames </w:t>
      </w:r>
      <w:r w:rsidR="009D713F">
        <w:rPr>
          <w:color w:val="000000"/>
        </w:rPr>
        <w:t xml:space="preserve">kavandatavad ja </w:t>
      </w:r>
      <w:r>
        <w:rPr>
          <w:color w:val="000000"/>
        </w:rPr>
        <w:t xml:space="preserve">korraldatavad tegevused </w:t>
      </w:r>
      <w:r w:rsidR="00DF68A6">
        <w:rPr>
          <w:color w:val="000000"/>
        </w:rPr>
        <w:t xml:space="preserve">läbivalt </w:t>
      </w:r>
      <w:r>
        <w:rPr>
          <w:color w:val="000000"/>
        </w:rPr>
        <w:t xml:space="preserve">toetada järgnevaid </w:t>
      </w:r>
      <w:r w:rsidRPr="000C0BFA">
        <w:rPr>
          <w:b/>
          <w:bCs/>
          <w:color w:val="000000"/>
        </w:rPr>
        <w:t>keskkonnavalikuid</w:t>
      </w:r>
      <w:r>
        <w:rPr>
          <w:color w:val="000000"/>
        </w:rPr>
        <w:t>:</w:t>
      </w:r>
    </w:p>
    <w:p w:rsidR="00CE3D13" w:rsidP="00466A85" w:rsidRDefault="005817F7" w14:paraId="71FB5607" w14:textId="548C23D6">
      <w:pPr>
        <w:pStyle w:val="NormalWeb"/>
        <w:numPr>
          <w:ilvl w:val="0"/>
          <w:numId w:val="1"/>
        </w:numPr>
        <w:spacing w:before="0" w:beforeAutospacing="0" w:after="0" w:afterAutospacing="0" w:line="276" w:lineRule="auto"/>
        <w:ind w:left="714" w:hanging="357"/>
        <w:jc w:val="both"/>
        <w:rPr>
          <w:color w:val="000000"/>
        </w:rPr>
      </w:pPr>
      <w:r>
        <w:rPr>
          <w:color w:val="000000"/>
        </w:rPr>
        <w:t>e</w:t>
      </w:r>
      <w:r w:rsidRPr="0093393C" w:rsidR="00CE3D13">
        <w:rPr>
          <w:color w:val="000000"/>
        </w:rPr>
        <w:t>nergiatarbimi</w:t>
      </w:r>
      <w:r w:rsidR="00CE3D13">
        <w:rPr>
          <w:color w:val="000000"/>
        </w:rPr>
        <w:t>se vähendamine</w:t>
      </w:r>
      <w:r>
        <w:rPr>
          <w:color w:val="000000"/>
        </w:rPr>
        <w:t>;</w:t>
      </w:r>
      <w:r w:rsidR="00CE3D13">
        <w:rPr>
          <w:color w:val="000000"/>
        </w:rPr>
        <w:t xml:space="preserve"> </w:t>
      </w:r>
    </w:p>
    <w:p w:rsidR="00CE3D13" w:rsidP="00466A85" w:rsidRDefault="005817F7" w14:paraId="522034CA" w14:textId="3E9E155C">
      <w:pPr>
        <w:pStyle w:val="NormalWeb"/>
        <w:numPr>
          <w:ilvl w:val="0"/>
          <w:numId w:val="1"/>
        </w:numPr>
        <w:spacing w:before="0" w:beforeAutospacing="0" w:after="0" w:afterAutospacing="0" w:line="276" w:lineRule="auto"/>
        <w:jc w:val="both"/>
        <w:rPr>
          <w:color w:val="000000"/>
        </w:rPr>
      </w:pPr>
      <w:r>
        <w:rPr>
          <w:color w:val="000000"/>
        </w:rPr>
        <w:t>k</w:t>
      </w:r>
      <w:r w:rsidR="00CE3D13">
        <w:rPr>
          <w:color w:val="000000"/>
        </w:rPr>
        <w:t>eskkonnahoidliku transpordi eelistamine</w:t>
      </w:r>
      <w:r>
        <w:rPr>
          <w:color w:val="000000"/>
        </w:rPr>
        <w:t>;</w:t>
      </w:r>
      <w:r w:rsidR="00CE3D13">
        <w:rPr>
          <w:color w:val="000000"/>
        </w:rPr>
        <w:t xml:space="preserve"> </w:t>
      </w:r>
    </w:p>
    <w:p w:rsidR="00CE3D13" w:rsidP="00466A85" w:rsidRDefault="005817F7" w14:paraId="3896191A" w14:textId="455C89DB">
      <w:pPr>
        <w:pStyle w:val="NormalWeb"/>
        <w:numPr>
          <w:ilvl w:val="0"/>
          <w:numId w:val="1"/>
        </w:numPr>
        <w:spacing w:before="0" w:beforeAutospacing="0" w:after="0" w:afterAutospacing="0" w:line="276" w:lineRule="auto"/>
        <w:jc w:val="both"/>
        <w:rPr>
          <w:color w:val="000000"/>
        </w:rPr>
      </w:pPr>
      <w:r>
        <w:rPr>
          <w:color w:val="000000"/>
        </w:rPr>
        <w:t>f</w:t>
      </w:r>
      <w:r w:rsidR="00CE3D13">
        <w:rPr>
          <w:color w:val="000000"/>
        </w:rPr>
        <w:t>üüsilise liikuvuse tõstmine</w:t>
      </w:r>
      <w:r>
        <w:rPr>
          <w:color w:val="000000"/>
        </w:rPr>
        <w:t>;</w:t>
      </w:r>
      <w:r w:rsidR="00CE3D13">
        <w:rPr>
          <w:color w:val="000000"/>
        </w:rPr>
        <w:t xml:space="preserve"> </w:t>
      </w:r>
    </w:p>
    <w:p w:rsidR="00CE3D13" w:rsidP="00466A85" w:rsidRDefault="005817F7" w14:paraId="714DCD9D" w14:textId="6DC5B474">
      <w:pPr>
        <w:pStyle w:val="NormalWeb"/>
        <w:numPr>
          <w:ilvl w:val="0"/>
          <w:numId w:val="1"/>
        </w:numPr>
        <w:spacing w:before="0" w:beforeAutospacing="0" w:after="0" w:afterAutospacing="0" w:line="276" w:lineRule="auto"/>
        <w:jc w:val="both"/>
        <w:rPr>
          <w:color w:val="000000"/>
        </w:rPr>
      </w:pPr>
      <w:r>
        <w:rPr>
          <w:color w:val="000000"/>
        </w:rPr>
        <w:t>t</w:t>
      </w:r>
      <w:r w:rsidR="00CE3D13">
        <w:rPr>
          <w:color w:val="000000"/>
        </w:rPr>
        <w:t>arbimisharjumuste muutmine</w:t>
      </w:r>
      <w:r w:rsidR="00F514D6">
        <w:rPr>
          <w:color w:val="000000"/>
        </w:rPr>
        <w:t xml:space="preserve"> (ühekord</w:t>
      </w:r>
      <w:r w:rsidR="00891968">
        <w:rPr>
          <w:color w:val="000000"/>
        </w:rPr>
        <w:t>s</w:t>
      </w:r>
      <w:r w:rsidR="00F514D6">
        <w:rPr>
          <w:color w:val="000000"/>
        </w:rPr>
        <w:t>e</w:t>
      </w:r>
      <w:r w:rsidR="00891968">
        <w:rPr>
          <w:color w:val="000000"/>
        </w:rPr>
        <w:t>d</w:t>
      </w:r>
      <w:r w:rsidR="00F514D6">
        <w:rPr>
          <w:color w:val="000000"/>
        </w:rPr>
        <w:t xml:space="preserve"> </w:t>
      </w:r>
      <w:r w:rsidRPr="00F514D6" w:rsidR="00F514D6">
        <w:rPr>
          <w:i/>
          <w:iCs/>
          <w:color w:val="000000"/>
        </w:rPr>
        <w:t>vs</w:t>
      </w:r>
      <w:r w:rsidR="00F514D6">
        <w:rPr>
          <w:color w:val="000000"/>
        </w:rPr>
        <w:t xml:space="preserve"> kestlik</w:t>
      </w:r>
      <w:r w:rsidR="00891968">
        <w:rPr>
          <w:color w:val="000000"/>
        </w:rPr>
        <w:t>ud tooted</w:t>
      </w:r>
      <w:r w:rsidR="00F514D6">
        <w:rPr>
          <w:color w:val="000000"/>
        </w:rPr>
        <w:t>)</w:t>
      </w:r>
      <w:r>
        <w:rPr>
          <w:color w:val="000000"/>
        </w:rPr>
        <w:t>;</w:t>
      </w:r>
    </w:p>
    <w:p w:rsidR="00CE3D13" w:rsidP="00466A85" w:rsidRDefault="005817F7" w14:paraId="50D5F1B3" w14:textId="4D800D42">
      <w:pPr>
        <w:pStyle w:val="NormalWeb"/>
        <w:numPr>
          <w:ilvl w:val="0"/>
          <w:numId w:val="1"/>
        </w:numPr>
        <w:spacing w:before="0" w:beforeAutospacing="0" w:after="0" w:afterAutospacing="0" w:line="276" w:lineRule="auto"/>
        <w:jc w:val="both"/>
        <w:rPr>
          <w:color w:val="000000"/>
        </w:rPr>
      </w:pPr>
      <w:r>
        <w:rPr>
          <w:color w:val="000000"/>
        </w:rPr>
        <w:t>l</w:t>
      </w:r>
      <w:r w:rsidR="00CE3D13">
        <w:rPr>
          <w:color w:val="000000"/>
        </w:rPr>
        <w:t xml:space="preserve">äbimõeldud </w:t>
      </w:r>
      <w:r w:rsidR="009D713F">
        <w:rPr>
          <w:color w:val="000000"/>
        </w:rPr>
        <w:t xml:space="preserve">ja tasakaalustatud </w:t>
      </w:r>
      <w:r w:rsidR="00CE3D13">
        <w:rPr>
          <w:color w:val="000000"/>
        </w:rPr>
        <w:t>toitlustamine</w:t>
      </w:r>
      <w:r>
        <w:rPr>
          <w:color w:val="000000"/>
        </w:rPr>
        <w:t>;</w:t>
      </w:r>
    </w:p>
    <w:p w:rsidR="00CE3D13" w:rsidP="00466A85" w:rsidRDefault="00F514D6" w14:paraId="3AA64EFF" w14:textId="03A31D50">
      <w:pPr>
        <w:pStyle w:val="NormalWeb"/>
        <w:numPr>
          <w:ilvl w:val="0"/>
          <w:numId w:val="1"/>
        </w:numPr>
        <w:spacing w:before="0" w:beforeAutospacing="0" w:after="0" w:afterAutospacing="0" w:line="276" w:lineRule="auto"/>
        <w:jc w:val="both"/>
        <w:rPr>
          <w:color w:val="000000"/>
        </w:rPr>
      </w:pPr>
      <w:r>
        <w:rPr>
          <w:color w:val="000000"/>
        </w:rPr>
        <w:t>j</w:t>
      </w:r>
      <w:r w:rsidRPr="00F514D6">
        <w:rPr>
          <w:color w:val="000000"/>
        </w:rPr>
        <w:t>äätmeteta majandamine</w:t>
      </w:r>
      <w:r>
        <w:rPr>
          <w:color w:val="000000"/>
        </w:rPr>
        <w:t xml:space="preserve"> (</w:t>
      </w:r>
      <w:proofErr w:type="spellStart"/>
      <w:r w:rsidRPr="00F514D6">
        <w:rPr>
          <w:i/>
          <w:iCs/>
          <w:color w:val="000000"/>
        </w:rPr>
        <w:t>zero</w:t>
      </w:r>
      <w:proofErr w:type="spellEnd"/>
      <w:r w:rsidRPr="00F514D6">
        <w:rPr>
          <w:i/>
          <w:iCs/>
          <w:color w:val="000000"/>
        </w:rPr>
        <w:t xml:space="preserve"> </w:t>
      </w:r>
      <w:proofErr w:type="spellStart"/>
      <w:r w:rsidRPr="00F514D6">
        <w:rPr>
          <w:i/>
          <w:iCs/>
          <w:color w:val="000000"/>
        </w:rPr>
        <w:t>waste</w:t>
      </w:r>
      <w:proofErr w:type="spellEnd"/>
      <w:r>
        <w:rPr>
          <w:color w:val="000000"/>
        </w:rPr>
        <w:t>)</w:t>
      </w:r>
      <w:r w:rsidR="005817F7">
        <w:rPr>
          <w:color w:val="000000"/>
        </w:rPr>
        <w:t>, sh digiprügi minimeerimine;</w:t>
      </w:r>
    </w:p>
    <w:p w:rsidRPr="005817F7" w:rsidR="00CE3D13" w:rsidP="00466A85" w:rsidRDefault="005817F7" w14:paraId="17438759" w14:textId="689E74D7">
      <w:pPr>
        <w:pStyle w:val="NormalWeb"/>
        <w:numPr>
          <w:ilvl w:val="0"/>
          <w:numId w:val="1"/>
        </w:numPr>
        <w:spacing w:before="0" w:beforeAutospacing="0" w:after="240" w:afterAutospacing="0" w:line="276" w:lineRule="auto"/>
        <w:jc w:val="both"/>
        <w:rPr>
          <w:color w:val="000000"/>
        </w:rPr>
      </w:pPr>
      <w:r w:rsidRPr="005817F7">
        <w:rPr>
          <w:color w:val="000000"/>
        </w:rPr>
        <w:lastRenderedPageBreak/>
        <w:t>t</w:t>
      </w:r>
      <w:r w:rsidRPr="005817F7" w:rsidR="00CE3D13">
        <w:rPr>
          <w:color w:val="000000"/>
        </w:rPr>
        <w:t>rükistest ja pabermaterjalidest loobumine</w:t>
      </w:r>
      <w:r w:rsidRPr="005817F7">
        <w:rPr>
          <w:color w:val="000000"/>
        </w:rPr>
        <w:t>.</w:t>
      </w:r>
    </w:p>
    <w:p w:rsidR="00CE3D13" w:rsidP="00466A85" w:rsidRDefault="00CE3D13" w14:paraId="14AC261F" w14:textId="4CEFD301">
      <w:pPr>
        <w:pStyle w:val="NormalWeb"/>
        <w:numPr>
          <w:ilvl w:val="0"/>
          <w:numId w:val="2"/>
        </w:numPr>
        <w:spacing w:before="0" w:beforeAutospacing="0" w:after="240" w:afterAutospacing="0" w:line="276" w:lineRule="auto"/>
        <w:ind w:left="357" w:hanging="357"/>
        <w:jc w:val="both"/>
        <w:rPr>
          <w:color w:val="000000"/>
        </w:rPr>
      </w:pPr>
      <w:r w:rsidRPr="000C0BFA">
        <w:rPr>
          <w:b/>
          <w:bCs/>
          <w:color w:val="000000"/>
        </w:rPr>
        <w:t>Hangete läbiviimisel</w:t>
      </w:r>
      <w:r w:rsidRPr="006447BF">
        <w:rPr>
          <w:color w:val="000000"/>
        </w:rPr>
        <w:t xml:space="preserve"> järgitakse võimalusel keskkonnahoidlike hangete põhimõtteid, mille puhul hangitavate toodete või teenuste olelusringil nii tootmisel, kasutamisel kui kasutusest kõrvaldamisel on võimalikult väike või neutraalne keskkonnamõju. </w:t>
      </w:r>
      <w:r>
        <w:rPr>
          <w:color w:val="000000"/>
        </w:rPr>
        <w:t>Vajadusel</w:t>
      </w:r>
      <w:r w:rsidR="000179AD">
        <w:rPr>
          <w:color w:val="000000"/>
        </w:rPr>
        <w:t xml:space="preserve"> tuleb</w:t>
      </w:r>
      <w:r>
        <w:rPr>
          <w:color w:val="000000"/>
        </w:rPr>
        <w:t xml:space="preserve"> </w:t>
      </w:r>
      <w:r w:rsidR="000179AD">
        <w:rPr>
          <w:color w:val="000000"/>
        </w:rPr>
        <w:t xml:space="preserve">mööbli, </w:t>
      </w:r>
      <w:r>
        <w:rPr>
          <w:color w:val="000000"/>
        </w:rPr>
        <w:t>kontori IT-seadmete</w:t>
      </w:r>
      <w:r w:rsidR="000179AD">
        <w:rPr>
          <w:color w:val="000000"/>
        </w:rPr>
        <w:t>, puhastustoodete ja -teenuste</w:t>
      </w:r>
      <w:r>
        <w:rPr>
          <w:color w:val="000000"/>
        </w:rPr>
        <w:t xml:space="preserve"> </w:t>
      </w:r>
      <w:r w:rsidR="000179AD">
        <w:rPr>
          <w:color w:val="000000"/>
        </w:rPr>
        <w:t>ja/</w:t>
      </w:r>
      <w:r>
        <w:rPr>
          <w:color w:val="000000"/>
        </w:rPr>
        <w:t>või koopia</w:t>
      </w:r>
      <w:r w:rsidR="000179AD">
        <w:rPr>
          <w:color w:val="000000"/>
        </w:rPr>
        <w:t>- ja joonestus</w:t>
      </w:r>
      <w:r>
        <w:rPr>
          <w:color w:val="000000"/>
        </w:rPr>
        <w:t xml:space="preserve">paberi soetamisel </w:t>
      </w:r>
      <w:r w:rsidRPr="006447BF">
        <w:rPr>
          <w:color w:val="000000"/>
        </w:rPr>
        <w:t>lähtu</w:t>
      </w:r>
      <w:r w:rsidR="000179AD">
        <w:rPr>
          <w:color w:val="000000"/>
        </w:rPr>
        <w:t>da</w:t>
      </w:r>
      <w:r w:rsidRPr="006447BF">
        <w:rPr>
          <w:color w:val="000000"/>
        </w:rPr>
        <w:t xml:space="preserve"> keskkonnaministri 29.</w:t>
      </w:r>
      <w:r>
        <w:rPr>
          <w:color w:val="000000"/>
        </w:rPr>
        <w:t xml:space="preserve"> juuni </w:t>
      </w:r>
      <w:r w:rsidRPr="006447BF">
        <w:rPr>
          <w:color w:val="000000"/>
        </w:rPr>
        <w:t>2021</w:t>
      </w:r>
      <w:r>
        <w:rPr>
          <w:color w:val="000000"/>
        </w:rPr>
        <w:t>. a</w:t>
      </w:r>
      <w:r w:rsidRPr="006447BF">
        <w:rPr>
          <w:color w:val="000000"/>
        </w:rPr>
        <w:t xml:space="preserve"> </w:t>
      </w:r>
      <w:hyperlink w:history="1" r:id="rId17">
        <w:r w:rsidRPr="006447BF">
          <w:rPr>
            <w:rStyle w:val="Hyperlink"/>
          </w:rPr>
          <w:t>määrus</w:t>
        </w:r>
        <w:r>
          <w:rPr>
            <w:rStyle w:val="Hyperlink"/>
          </w:rPr>
          <w:t>es</w:t>
        </w:r>
      </w:hyperlink>
      <w:r w:rsidRPr="006447BF">
        <w:rPr>
          <w:color w:val="000000"/>
        </w:rPr>
        <w:t xml:space="preserve"> nr 35</w:t>
      </w:r>
      <w:r w:rsidR="00E368B3">
        <w:rPr>
          <w:color w:val="000000"/>
        </w:rPr>
        <w:t xml:space="preserve"> „</w:t>
      </w:r>
      <w:r w:rsidRPr="00E368B3" w:rsidR="00E368B3">
        <w:rPr>
          <w:color w:val="000000"/>
        </w:rPr>
        <w:t>Hankelepingu esemeks olevate toodete ja teenuste keskkonnahoidlikud kriteeriumid ja nende kohta riigihanke alusdokumentides kehtestavad tingimused</w:t>
      </w:r>
      <w:r w:rsidR="00E368B3">
        <w:rPr>
          <w:color w:val="000000"/>
        </w:rPr>
        <w:t>“</w:t>
      </w:r>
      <w:r w:rsidRPr="006447BF">
        <w:rPr>
          <w:color w:val="000000"/>
        </w:rPr>
        <w:t xml:space="preserve"> </w:t>
      </w:r>
      <w:r>
        <w:rPr>
          <w:color w:val="000000"/>
        </w:rPr>
        <w:t xml:space="preserve">ja selle </w:t>
      </w:r>
      <w:r w:rsidRPr="006447BF">
        <w:rPr>
          <w:color w:val="000000"/>
        </w:rPr>
        <w:t>lisa</w:t>
      </w:r>
      <w:r>
        <w:rPr>
          <w:color w:val="000000"/>
        </w:rPr>
        <w:t>des</w:t>
      </w:r>
      <w:r w:rsidR="000179AD">
        <w:rPr>
          <w:rStyle w:val="FootnoteReference"/>
          <w:color w:val="000000"/>
        </w:rPr>
        <w:footnoteReference w:id="6"/>
      </w:r>
      <w:r>
        <w:rPr>
          <w:color w:val="000000"/>
        </w:rPr>
        <w:t xml:space="preserve"> </w:t>
      </w:r>
      <w:r w:rsidRPr="006447BF">
        <w:rPr>
          <w:color w:val="000000"/>
        </w:rPr>
        <w:t>sätestatud põhimõtetest.</w:t>
      </w:r>
    </w:p>
    <w:p w:rsidR="00CE3D13" w:rsidP="00466A85" w:rsidRDefault="000179AD" w14:paraId="4F3FC755" w14:textId="72AF3F81">
      <w:pPr>
        <w:pStyle w:val="NormalWeb"/>
        <w:numPr>
          <w:ilvl w:val="0"/>
          <w:numId w:val="2"/>
        </w:numPr>
        <w:spacing w:before="0" w:beforeAutospacing="0" w:after="240" w:afterAutospacing="0" w:line="276" w:lineRule="auto"/>
        <w:ind w:left="357" w:hanging="357"/>
        <w:jc w:val="both"/>
        <w:rPr>
          <w:color w:val="000000"/>
        </w:rPr>
      </w:pPr>
      <w:r>
        <w:rPr>
          <w:color w:val="000000"/>
        </w:rPr>
        <w:t>Projekti raames korraldatavate</w:t>
      </w:r>
      <w:r w:rsidR="00CE3D13">
        <w:rPr>
          <w:color w:val="000000"/>
        </w:rPr>
        <w:t xml:space="preserve"> ürituste</w:t>
      </w:r>
      <w:r>
        <w:rPr>
          <w:color w:val="000000"/>
        </w:rPr>
        <w:t xml:space="preserve"> (seminaride, messide,</w:t>
      </w:r>
      <w:r w:rsidR="00CE3D13">
        <w:rPr>
          <w:color w:val="000000"/>
        </w:rPr>
        <w:t xml:space="preserve"> ümarlaudade jms</w:t>
      </w:r>
      <w:r>
        <w:rPr>
          <w:color w:val="000000"/>
        </w:rPr>
        <w:t>)</w:t>
      </w:r>
      <w:r w:rsidR="00CE3D13">
        <w:rPr>
          <w:color w:val="000000"/>
        </w:rPr>
        <w:t xml:space="preserve"> korraldamisel </w:t>
      </w:r>
      <w:r w:rsidR="00631869">
        <w:rPr>
          <w:color w:val="000000"/>
        </w:rPr>
        <w:t>oleks vaja järgida</w:t>
      </w:r>
      <w:r w:rsidR="00CE3D13">
        <w:rPr>
          <w:color w:val="000000"/>
        </w:rPr>
        <w:t xml:space="preserve"> </w:t>
      </w:r>
      <w:r w:rsidRPr="000C0BFA" w:rsidR="00CE3D13">
        <w:rPr>
          <w:b/>
          <w:bCs/>
          <w:color w:val="000000"/>
        </w:rPr>
        <w:t>keskkonnasõbraliku sündmuse</w:t>
      </w:r>
      <w:r w:rsidRPr="00854817" w:rsidR="00CE3D13">
        <w:rPr>
          <w:color w:val="000000"/>
        </w:rPr>
        <w:t xml:space="preserve"> põhimõt</w:t>
      </w:r>
      <w:r w:rsidR="00E368B3">
        <w:rPr>
          <w:color w:val="000000"/>
        </w:rPr>
        <w:t>t</w:t>
      </w:r>
      <w:r w:rsidRPr="00854817" w:rsidR="00CE3D13">
        <w:rPr>
          <w:color w:val="000000"/>
        </w:rPr>
        <w:t>e</w:t>
      </w:r>
      <w:r w:rsidR="00631869">
        <w:rPr>
          <w:color w:val="000000"/>
        </w:rPr>
        <w:t>id</w:t>
      </w:r>
      <w:r w:rsidR="00276818">
        <w:rPr>
          <w:color w:val="000000"/>
        </w:rPr>
        <w:t xml:space="preserve">, mis võiksid laieneda üldjuhul ka muudele projekti tegevustele </w:t>
      </w:r>
      <w:r w:rsidR="00BD34AA">
        <w:rPr>
          <w:color w:val="000000"/>
        </w:rPr>
        <w:t xml:space="preserve">või </w:t>
      </w:r>
      <w:r w:rsidR="00276818">
        <w:rPr>
          <w:color w:val="000000"/>
        </w:rPr>
        <w:t xml:space="preserve">toetuse saaja </w:t>
      </w:r>
      <w:r w:rsidR="00BD34AA">
        <w:rPr>
          <w:color w:val="000000"/>
        </w:rPr>
        <w:t>enda igapäevastele toimingutele.</w:t>
      </w:r>
    </w:p>
    <w:p w:rsidRPr="002460AA" w:rsidR="00CE3D13" w:rsidP="002460AA" w:rsidRDefault="00CE3D13" w14:paraId="5CCEEF47" w14:textId="34C0F806">
      <w:pPr>
        <w:pStyle w:val="NormalWeb"/>
        <w:numPr>
          <w:ilvl w:val="1"/>
          <w:numId w:val="2"/>
        </w:numPr>
        <w:spacing w:before="0" w:beforeAutospacing="0" w:after="240" w:afterAutospacing="0" w:line="276" w:lineRule="auto"/>
        <w:ind w:left="357" w:firstLine="0"/>
        <w:jc w:val="both"/>
        <w:rPr>
          <w:color w:val="000000"/>
        </w:rPr>
      </w:pPr>
      <w:r w:rsidRPr="002460AA">
        <w:rPr>
          <w:b/>
          <w:bCs/>
          <w:color w:val="000000"/>
        </w:rPr>
        <w:t>Toimumiskoha</w:t>
      </w:r>
      <w:r w:rsidRPr="002460AA">
        <w:rPr>
          <w:color w:val="000000"/>
        </w:rPr>
        <w:t xml:space="preserve"> valimisel </w:t>
      </w:r>
      <w:r w:rsidRPr="002460AA" w:rsidR="00944C4C">
        <w:rPr>
          <w:color w:val="000000"/>
        </w:rPr>
        <w:t>saaks</w:t>
      </w:r>
      <w:r w:rsidRPr="002460AA">
        <w:rPr>
          <w:color w:val="000000"/>
        </w:rPr>
        <w:t xml:space="preserve"> eelistada energiasäästlikke </w:t>
      </w:r>
      <w:r w:rsidRPr="002460AA" w:rsidR="00391E3C">
        <w:rPr>
          <w:color w:val="000000"/>
        </w:rPr>
        <w:t>ja</w:t>
      </w:r>
      <w:r w:rsidRPr="002460AA">
        <w:rPr>
          <w:color w:val="000000"/>
        </w:rPr>
        <w:t xml:space="preserve"> taastuvenergiat kasutavaid hooneid või hoopis välialasid, mis on juurdepääsetavad nii jalgsi kui ühistranspordiga ning kus on tagatud ka jalgratta hoiustamine. Üritused peaksid olema ligipääsetavad kõigile sihtrühmadele, sh ratastoolis liikujale. Toimumiskoht võiks olla </w:t>
      </w:r>
      <w:r w:rsidRPr="002460AA" w:rsidR="00E368B3">
        <w:rPr>
          <w:color w:val="000000"/>
        </w:rPr>
        <w:t xml:space="preserve">võimalusel </w:t>
      </w:r>
      <w:r w:rsidRPr="002460AA">
        <w:rPr>
          <w:color w:val="000000"/>
        </w:rPr>
        <w:t xml:space="preserve">varustatud keskkonnahoidlikult hangitud mööbli, IT-seadmete ja koopiapaberiga ning koristamisel oleks tagatud </w:t>
      </w:r>
      <w:proofErr w:type="spellStart"/>
      <w:r w:rsidRPr="002460AA">
        <w:rPr>
          <w:color w:val="000000"/>
        </w:rPr>
        <w:t>ökomärgisega</w:t>
      </w:r>
      <w:proofErr w:type="spellEnd"/>
      <w:r w:rsidRPr="002460AA">
        <w:rPr>
          <w:color w:val="000000"/>
        </w:rPr>
        <w:t xml:space="preserve"> puhastusvahendite ja -tarvikute kasutamine.  </w:t>
      </w:r>
    </w:p>
    <w:p w:rsidR="00CE3D13" w:rsidP="002460AA" w:rsidRDefault="00CE3D13" w14:paraId="09BE6A1C" w14:textId="5C4A709A">
      <w:pPr>
        <w:pStyle w:val="NormalWeb"/>
        <w:numPr>
          <w:ilvl w:val="1"/>
          <w:numId w:val="2"/>
        </w:numPr>
        <w:spacing w:before="0" w:beforeAutospacing="0" w:after="240" w:afterAutospacing="0" w:line="276" w:lineRule="auto"/>
        <w:ind w:left="357" w:firstLine="0"/>
        <w:jc w:val="both"/>
        <w:rPr>
          <w:color w:val="000000"/>
        </w:rPr>
      </w:pPr>
      <w:r w:rsidRPr="00266513">
        <w:rPr>
          <w:color w:val="000000"/>
        </w:rPr>
        <w:t>Osalejatele ja esinejatele</w:t>
      </w:r>
      <w:r>
        <w:rPr>
          <w:b/>
          <w:bCs/>
          <w:color w:val="000000"/>
        </w:rPr>
        <w:t xml:space="preserve"> t</w:t>
      </w:r>
      <w:r w:rsidRPr="008A7676">
        <w:rPr>
          <w:b/>
          <w:bCs/>
          <w:color w:val="000000"/>
        </w:rPr>
        <w:t>ranspor</w:t>
      </w:r>
      <w:r>
        <w:rPr>
          <w:b/>
          <w:bCs/>
          <w:color w:val="000000"/>
        </w:rPr>
        <w:t>tteenuse</w:t>
      </w:r>
      <w:r w:rsidRPr="00D66903">
        <w:t xml:space="preserve"> </w:t>
      </w:r>
      <w:r w:rsidRPr="00D66903">
        <w:rPr>
          <w:color w:val="000000"/>
        </w:rPr>
        <w:t xml:space="preserve">korraldamisel </w:t>
      </w:r>
      <w:r>
        <w:rPr>
          <w:color w:val="000000"/>
        </w:rPr>
        <w:t>ning ürituseks vajalike vahendite ja toitlustuse kohaletoimetamisel võiks t</w:t>
      </w:r>
      <w:r w:rsidRPr="00D66903">
        <w:rPr>
          <w:color w:val="000000"/>
        </w:rPr>
        <w:t xml:space="preserve">agada </w:t>
      </w:r>
      <w:r>
        <w:rPr>
          <w:color w:val="000000"/>
        </w:rPr>
        <w:t xml:space="preserve">tõhusam logistika </w:t>
      </w:r>
      <w:r w:rsidRPr="00D66903">
        <w:rPr>
          <w:color w:val="000000"/>
        </w:rPr>
        <w:t>marsruutide optimeerimi</w:t>
      </w:r>
      <w:r w:rsidR="00E368B3">
        <w:rPr>
          <w:color w:val="000000"/>
        </w:rPr>
        <w:t>sel</w:t>
      </w:r>
      <w:r>
        <w:rPr>
          <w:color w:val="000000"/>
        </w:rPr>
        <w:t xml:space="preserve"> ning kütusesäästlik sõi</w:t>
      </w:r>
      <w:r w:rsidR="00E368B3">
        <w:rPr>
          <w:color w:val="000000"/>
        </w:rPr>
        <w:t>t</w:t>
      </w:r>
      <w:r>
        <w:rPr>
          <w:color w:val="000000"/>
        </w:rPr>
        <w:t>. Lisaks peaks eelistama väikese CO2-heitega</w:t>
      </w:r>
      <w:r w:rsidRPr="00D66903">
        <w:rPr>
          <w:color w:val="000000"/>
        </w:rPr>
        <w:t xml:space="preserve"> </w:t>
      </w:r>
      <w:r>
        <w:rPr>
          <w:color w:val="000000"/>
        </w:rPr>
        <w:t xml:space="preserve">sõidukeid, sh gaasibusse või elektriautosid ning </w:t>
      </w:r>
      <w:r w:rsidR="00E368B3">
        <w:rPr>
          <w:color w:val="000000"/>
        </w:rPr>
        <w:t>julgustada</w:t>
      </w:r>
      <w:r>
        <w:rPr>
          <w:color w:val="000000"/>
        </w:rPr>
        <w:t xml:space="preserve"> isiklike transpordivahendite kasutaja</w:t>
      </w:r>
      <w:r w:rsidR="00E368B3">
        <w:rPr>
          <w:color w:val="000000"/>
        </w:rPr>
        <w:t>id</w:t>
      </w:r>
      <w:r>
        <w:rPr>
          <w:color w:val="000000"/>
        </w:rPr>
        <w:t xml:space="preserve"> ka teistega sõite jagada. Võimalusel saaks tagada</w:t>
      </w:r>
      <w:r w:rsidRPr="001F58FA">
        <w:rPr>
          <w:color w:val="000000"/>
        </w:rPr>
        <w:t xml:space="preserve"> ka üritusel distantsilt osalemi</w:t>
      </w:r>
      <w:r w:rsidR="00E368B3">
        <w:rPr>
          <w:color w:val="000000"/>
        </w:rPr>
        <w:t>n</w:t>
      </w:r>
      <w:r w:rsidRPr="001F58FA">
        <w:rPr>
          <w:color w:val="000000"/>
        </w:rPr>
        <w:t>e</w:t>
      </w:r>
      <w:r>
        <w:rPr>
          <w:color w:val="000000"/>
        </w:rPr>
        <w:t xml:space="preserve"> ning </w:t>
      </w:r>
      <w:r w:rsidR="00586F8D">
        <w:rPr>
          <w:color w:val="000000"/>
        </w:rPr>
        <w:t xml:space="preserve">ürituseks vajalike veoste kohatoimetamisel </w:t>
      </w:r>
      <w:r>
        <w:rPr>
          <w:color w:val="000000"/>
        </w:rPr>
        <w:t xml:space="preserve">vältida ühekordsete pakendite kasutamist, valides </w:t>
      </w:r>
      <w:r w:rsidR="00586F8D">
        <w:rPr>
          <w:color w:val="000000"/>
        </w:rPr>
        <w:t>(</w:t>
      </w:r>
      <w:r>
        <w:rPr>
          <w:color w:val="000000"/>
        </w:rPr>
        <w:t>lõputult</w:t>
      </w:r>
      <w:r w:rsidR="00586F8D">
        <w:rPr>
          <w:color w:val="000000"/>
        </w:rPr>
        <w:t>)</w:t>
      </w:r>
      <w:r>
        <w:rPr>
          <w:color w:val="000000"/>
        </w:rPr>
        <w:t xml:space="preserve"> taaskasutatavaid kärusid, kaste ja mahuteid</w:t>
      </w:r>
      <w:r w:rsidRPr="001F58FA">
        <w:rPr>
          <w:color w:val="000000"/>
        </w:rPr>
        <w:t>.</w:t>
      </w:r>
    </w:p>
    <w:p w:rsidRPr="00CE3D13" w:rsidR="00CE3D13" w:rsidP="002460AA" w:rsidRDefault="00CE3D13" w14:paraId="1ACB278E" w14:textId="38533BFA">
      <w:pPr>
        <w:pStyle w:val="NormalWeb"/>
        <w:numPr>
          <w:ilvl w:val="1"/>
          <w:numId w:val="2"/>
        </w:numPr>
        <w:spacing w:before="0" w:beforeAutospacing="0" w:after="240" w:afterAutospacing="0" w:line="276" w:lineRule="auto"/>
        <w:ind w:left="357" w:firstLine="0"/>
        <w:jc w:val="both"/>
        <w:rPr>
          <w:color w:val="000000"/>
        </w:rPr>
      </w:pPr>
      <w:r w:rsidRPr="00CE3D13">
        <w:rPr>
          <w:color w:val="000000"/>
        </w:rPr>
        <w:t xml:space="preserve">Ürituse ajal kasutatavate </w:t>
      </w:r>
      <w:r w:rsidRPr="00A20F12">
        <w:rPr>
          <w:b/>
          <w:bCs/>
          <w:color w:val="000000"/>
        </w:rPr>
        <w:t>esemete ja vahendite</w:t>
      </w:r>
      <w:r w:rsidRPr="00CE3D13">
        <w:rPr>
          <w:color w:val="000000"/>
        </w:rPr>
        <w:t xml:space="preserve"> valik peaks</w:t>
      </w:r>
      <w:r w:rsidR="00436E68">
        <w:rPr>
          <w:color w:val="000000"/>
        </w:rPr>
        <w:t xml:space="preserve"> vajadusel</w:t>
      </w:r>
      <w:r w:rsidRPr="00CE3D13">
        <w:rPr>
          <w:color w:val="000000"/>
        </w:rPr>
        <w:t xml:space="preserve"> </w:t>
      </w:r>
      <w:r w:rsidR="00436E68">
        <w:rPr>
          <w:color w:val="000000"/>
        </w:rPr>
        <w:t xml:space="preserve">tuginema kestvuse ja </w:t>
      </w:r>
      <w:r w:rsidRPr="00CE3D13">
        <w:rPr>
          <w:color w:val="000000"/>
        </w:rPr>
        <w:t>ringlussevõtu</w:t>
      </w:r>
      <w:r w:rsidR="00586F8D">
        <w:rPr>
          <w:color w:val="000000"/>
        </w:rPr>
        <w:t xml:space="preserve"> </w:t>
      </w:r>
      <w:r w:rsidR="00436E68">
        <w:rPr>
          <w:color w:val="000000"/>
        </w:rPr>
        <w:t>põhimõtetele</w:t>
      </w:r>
      <w:r w:rsidRPr="00CE3D13">
        <w:rPr>
          <w:color w:val="000000"/>
        </w:rPr>
        <w:t xml:space="preserve">. Eelistada tuleks </w:t>
      </w:r>
      <w:r w:rsidR="00436E68">
        <w:rPr>
          <w:color w:val="000000"/>
        </w:rPr>
        <w:t xml:space="preserve">pikema elueaga </w:t>
      </w:r>
      <w:r w:rsidRPr="00CE3D13">
        <w:rPr>
          <w:color w:val="000000"/>
        </w:rPr>
        <w:t xml:space="preserve">vastupidavamatest või taaskasutatud materjalidest (vanapaber, </w:t>
      </w:r>
      <w:r w:rsidR="00A20F12">
        <w:rPr>
          <w:color w:val="000000"/>
        </w:rPr>
        <w:t>kangad</w:t>
      </w:r>
      <w:r w:rsidRPr="00CE3D13">
        <w:rPr>
          <w:color w:val="000000"/>
        </w:rPr>
        <w:t xml:space="preserve">, metall, plastik jm) nimesilte ja kaelapaelasid, </w:t>
      </w:r>
      <w:proofErr w:type="spellStart"/>
      <w:r w:rsidRPr="00CE3D13">
        <w:rPr>
          <w:color w:val="000000"/>
        </w:rPr>
        <w:t>bännereid</w:t>
      </w:r>
      <w:proofErr w:type="spellEnd"/>
      <w:r w:rsidRPr="00CE3D13">
        <w:rPr>
          <w:color w:val="000000"/>
        </w:rPr>
        <w:t xml:space="preserve"> ja stende, kirjutusvahendeid ja märkmikke, kaunistusi ja inventari võimaldamaks nende korduvkasutamist, nt valides universaalsemat/ neutraalsemat disaini ning korraldades </w:t>
      </w:r>
      <w:r w:rsidR="00A20F12">
        <w:rPr>
          <w:color w:val="000000"/>
        </w:rPr>
        <w:t xml:space="preserve">esemete </w:t>
      </w:r>
      <w:r w:rsidRPr="00CE3D13">
        <w:rPr>
          <w:color w:val="000000"/>
        </w:rPr>
        <w:t xml:space="preserve">kogumispunkte </w:t>
      </w:r>
      <w:r w:rsidR="00A20F12">
        <w:rPr>
          <w:color w:val="000000"/>
        </w:rPr>
        <w:t xml:space="preserve">ja vajalikke </w:t>
      </w:r>
      <w:r w:rsidRPr="00CE3D13" w:rsidR="00A20F12">
        <w:rPr>
          <w:color w:val="000000"/>
        </w:rPr>
        <w:t xml:space="preserve">juhendeid </w:t>
      </w:r>
      <w:r w:rsidRPr="00CE3D13">
        <w:rPr>
          <w:color w:val="000000"/>
        </w:rPr>
        <w:t>ürituse ajal.</w:t>
      </w:r>
    </w:p>
    <w:p w:rsidRPr="00CE3D13" w:rsidR="00CE3D13" w:rsidP="002460AA" w:rsidRDefault="00CE3D13" w14:paraId="7EB937BE" w14:textId="1754B43F">
      <w:pPr>
        <w:pStyle w:val="NormalWeb"/>
        <w:numPr>
          <w:ilvl w:val="1"/>
          <w:numId w:val="2"/>
        </w:numPr>
        <w:spacing w:before="0" w:beforeAutospacing="0" w:after="240" w:afterAutospacing="0" w:line="276" w:lineRule="auto"/>
        <w:ind w:left="357" w:firstLine="0"/>
        <w:jc w:val="both"/>
        <w:rPr>
          <w:color w:val="000000"/>
        </w:rPr>
      </w:pPr>
      <w:r w:rsidRPr="00391E3C">
        <w:rPr>
          <w:b/>
          <w:bCs/>
          <w:color w:val="000000"/>
        </w:rPr>
        <w:t>Meenete ja kingituste</w:t>
      </w:r>
      <w:r w:rsidRPr="00AE688F" w:rsidR="00AE688F">
        <w:rPr>
          <w:color w:val="000000"/>
        </w:rPr>
        <w:t xml:space="preserve"> </w:t>
      </w:r>
      <w:r w:rsidR="00C55F6B">
        <w:rPr>
          <w:color w:val="000000"/>
        </w:rPr>
        <w:t>valikul</w:t>
      </w:r>
      <w:r w:rsidR="00AE688F">
        <w:rPr>
          <w:color w:val="000000"/>
        </w:rPr>
        <w:t xml:space="preserve"> tuleks käituda vastutustundlikult, </w:t>
      </w:r>
      <w:r w:rsidR="00391E3C">
        <w:rPr>
          <w:color w:val="000000"/>
        </w:rPr>
        <w:t xml:space="preserve">tagades </w:t>
      </w:r>
      <w:r w:rsidR="003E116D">
        <w:rPr>
          <w:color w:val="000000"/>
        </w:rPr>
        <w:t xml:space="preserve">nende </w:t>
      </w:r>
      <w:r w:rsidR="00391E3C">
        <w:rPr>
          <w:color w:val="000000"/>
        </w:rPr>
        <w:t xml:space="preserve">optimaalne kogus (nii palju kui vaja aga nii vähe kui võimalik) ja mõistlik sisu ning </w:t>
      </w:r>
      <w:r w:rsidR="00AE688F">
        <w:rPr>
          <w:color w:val="000000"/>
        </w:rPr>
        <w:t>loobudes ühekordselt kasutatavate asjade jagamisest</w:t>
      </w:r>
      <w:r w:rsidRPr="00CE3D13">
        <w:rPr>
          <w:color w:val="000000"/>
        </w:rPr>
        <w:t xml:space="preserve">. </w:t>
      </w:r>
      <w:r w:rsidR="00A20F12">
        <w:rPr>
          <w:color w:val="000000"/>
        </w:rPr>
        <w:t xml:space="preserve">Oleks hea </w:t>
      </w:r>
      <w:r w:rsidR="00AE688F">
        <w:rPr>
          <w:color w:val="000000"/>
        </w:rPr>
        <w:t>eelistada</w:t>
      </w:r>
      <w:r w:rsidR="00A20F12">
        <w:rPr>
          <w:color w:val="000000"/>
        </w:rPr>
        <w:t xml:space="preserve"> </w:t>
      </w:r>
      <w:r w:rsidR="00AE688F">
        <w:rPr>
          <w:color w:val="000000"/>
        </w:rPr>
        <w:t xml:space="preserve">kohalikke tootjaid ja käsitöölisi ning </w:t>
      </w:r>
      <w:r w:rsidR="00420050">
        <w:rPr>
          <w:color w:val="000000"/>
        </w:rPr>
        <w:t xml:space="preserve">vastupidavamatest ja/ või </w:t>
      </w:r>
      <w:r w:rsidR="00391E3C">
        <w:rPr>
          <w:color w:val="000000"/>
        </w:rPr>
        <w:t xml:space="preserve">loodussõbralikest materjalidest valmistatud </w:t>
      </w:r>
      <w:r w:rsidR="00391E3C">
        <w:rPr>
          <w:color w:val="000000"/>
        </w:rPr>
        <w:lastRenderedPageBreak/>
        <w:t>esemeid</w:t>
      </w:r>
      <w:r w:rsidR="00420050">
        <w:rPr>
          <w:color w:val="000000"/>
        </w:rPr>
        <w:t xml:space="preserve">, võimalusel kaaluda söödavate kinkide </w:t>
      </w:r>
      <w:r w:rsidR="00D61BF5">
        <w:rPr>
          <w:color w:val="000000"/>
        </w:rPr>
        <w:t>sobivust</w:t>
      </w:r>
      <w:r w:rsidR="00420050">
        <w:rPr>
          <w:color w:val="000000"/>
        </w:rPr>
        <w:t xml:space="preserve">. Kui </w:t>
      </w:r>
      <w:r w:rsidR="00D61BF5">
        <w:rPr>
          <w:color w:val="000000"/>
        </w:rPr>
        <w:t xml:space="preserve">kingituste/ meenete </w:t>
      </w:r>
      <w:r w:rsidR="00420050">
        <w:rPr>
          <w:color w:val="000000"/>
        </w:rPr>
        <w:t xml:space="preserve">pakendamine on vältimatu, siis peaks </w:t>
      </w:r>
      <w:r w:rsidR="00D61BF5">
        <w:rPr>
          <w:color w:val="000000"/>
        </w:rPr>
        <w:t>tagama</w:t>
      </w:r>
      <w:r w:rsidR="00420050">
        <w:rPr>
          <w:color w:val="000000"/>
        </w:rPr>
        <w:t xml:space="preserve"> </w:t>
      </w:r>
      <w:r w:rsidR="00D61BF5">
        <w:rPr>
          <w:color w:val="000000"/>
        </w:rPr>
        <w:t xml:space="preserve">taaskasutusse/ </w:t>
      </w:r>
      <w:r w:rsidR="00420050">
        <w:rPr>
          <w:color w:val="000000"/>
        </w:rPr>
        <w:t xml:space="preserve">ringlusse võetava või biolaguneva </w:t>
      </w:r>
      <w:r w:rsidR="00C55F6B">
        <w:rPr>
          <w:color w:val="000000"/>
        </w:rPr>
        <w:t>pakendi kasutami</w:t>
      </w:r>
      <w:r w:rsidR="00D61BF5">
        <w:rPr>
          <w:color w:val="000000"/>
        </w:rPr>
        <w:t>n</w:t>
      </w:r>
      <w:r w:rsidR="00C55F6B">
        <w:rPr>
          <w:color w:val="000000"/>
        </w:rPr>
        <w:t>e.</w:t>
      </w:r>
    </w:p>
    <w:p w:rsidR="00944C4C" w:rsidP="002460AA" w:rsidRDefault="00CE3D13" w14:paraId="645AC729" w14:textId="600A319D">
      <w:pPr>
        <w:pStyle w:val="NormalWeb"/>
        <w:numPr>
          <w:ilvl w:val="1"/>
          <w:numId w:val="2"/>
        </w:numPr>
        <w:spacing w:before="0" w:beforeAutospacing="0" w:after="240" w:afterAutospacing="0" w:line="276" w:lineRule="auto"/>
        <w:ind w:left="357" w:firstLine="0"/>
        <w:jc w:val="both"/>
        <w:rPr>
          <w:color w:val="000000"/>
        </w:rPr>
      </w:pPr>
      <w:r w:rsidRPr="00CE3D13">
        <w:rPr>
          <w:color w:val="000000"/>
        </w:rPr>
        <w:t xml:space="preserve">Paberkandjal </w:t>
      </w:r>
      <w:r w:rsidR="00D61BF5">
        <w:rPr>
          <w:color w:val="000000"/>
        </w:rPr>
        <w:t xml:space="preserve">jagatavatest </w:t>
      </w:r>
      <w:r w:rsidRPr="00CE3D13">
        <w:rPr>
          <w:color w:val="000000"/>
        </w:rPr>
        <w:t>materjalidest</w:t>
      </w:r>
      <w:r w:rsidR="00D61BF5">
        <w:rPr>
          <w:color w:val="000000"/>
        </w:rPr>
        <w:t xml:space="preserve"> (nt</w:t>
      </w:r>
      <w:r w:rsidRPr="00CE3D13">
        <w:rPr>
          <w:color w:val="000000"/>
        </w:rPr>
        <w:t xml:space="preserve"> juhenditest, käsiraamatutest</w:t>
      </w:r>
      <w:r w:rsidR="00D61BF5">
        <w:rPr>
          <w:color w:val="000000"/>
        </w:rPr>
        <w:t>, tagasisidelehtedest</w:t>
      </w:r>
      <w:r w:rsidRPr="00CE3D13">
        <w:rPr>
          <w:color w:val="000000"/>
        </w:rPr>
        <w:t xml:space="preserve"> jms</w:t>
      </w:r>
      <w:r w:rsidR="00D61BF5">
        <w:rPr>
          <w:color w:val="000000"/>
        </w:rPr>
        <w:t>)</w:t>
      </w:r>
      <w:r w:rsidRPr="00CE3D13">
        <w:rPr>
          <w:color w:val="000000"/>
        </w:rPr>
        <w:t xml:space="preserve"> </w:t>
      </w:r>
      <w:r w:rsidR="00D61BF5">
        <w:rPr>
          <w:color w:val="000000"/>
        </w:rPr>
        <w:t>tuleks</w:t>
      </w:r>
      <w:r w:rsidRPr="00CE3D13">
        <w:rPr>
          <w:color w:val="000000"/>
        </w:rPr>
        <w:t xml:space="preserve"> võimalusel loobuda, asendades trükiseid elektrooniliste </w:t>
      </w:r>
      <w:r w:rsidRPr="00391E3C">
        <w:rPr>
          <w:b/>
          <w:bCs/>
          <w:color w:val="000000"/>
        </w:rPr>
        <w:t>dokumentidega</w:t>
      </w:r>
      <w:r w:rsidRPr="00CE3D13">
        <w:rPr>
          <w:color w:val="000000"/>
        </w:rPr>
        <w:t>, mis on lihtsasti kättesaadavad ja alla laetavad nt asutuse või ürituse kodulehelt</w:t>
      </w:r>
      <w:r w:rsidR="00CD3AA6">
        <w:rPr>
          <w:color w:val="000000"/>
        </w:rPr>
        <w:t>, vähendades ja/või vältides samal ajal digiprügi teket</w:t>
      </w:r>
      <w:r w:rsidRPr="00CE3D13">
        <w:rPr>
          <w:color w:val="000000"/>
        </w:rPr>
        <w:t xml:space="preserve">. </w:t>
      </w:r>
      <w:r w:rsidRPr="00CE3D13" w:rsidR="00CD3AA6">
        <w:rPr>
          <w:color w:val="000000"/>
        </w:rPr>
        <w:t xml:space="preserve">Kui trükimaterjalid on ikka vajalikud, tuleks eelistada ümbertöödeldud paberi kasutamist ning tagada trükiste mõistlik kogus ning </w:t>
      </w:r>
      <w:r w:rsidR="00CD3AA6">
        <w:rPr>
          <w:color w:val="000000"/>
        </w:rPr>
        <w:t xml:space="preserve">läbi mõelda (tagastamine ja) </w:t>
      </w:r>
      <w:r w:rsidRPr="00CE3D13" w:rsidR="00CD3AA6">
        <w:rPr>
          <w:color w:val="000000"/>
        </w:rPr>
        <w:t xml:space="preserve">korduvkasutus. </w:t>
      </w:r>
      <w:r w:rsidR="000B2927">
        <w:rPr>
          <w:color w:val="000000"/>
        </w:rPr>
        <w:t>Peaks kaaluma ü</w:t>
      </w:r>
      <w:r w:rsidRPr="00CE3D13" w:rsidR="000B2927">
        <w:rPr>
          <w:color w:val="000000"/>
        </w:rPr>
        <w:t>rituse toimumiskohas kasutatava</w:t>
      </w:r>
      <w:r w:rsidR="000B2927">
        <w:rPr>
          <w:color w:val="000000"/>
        </w:rPr>
        <w:t>te</w:t>
      </w:r>
      <w:r w:rsidRPr="00CE3D13" w:rsidR="000B2927">
        <w:rPr>
          <w:color w:val="000000"/>
        </w:rPr>
        <w:t xml:space="preserve"> paberplakati</w:t>
      </w:r>
      <w:r w:rsidR="000B2927">
        <w:rPr>
          <w:color w:val="000000"/>
        </w:rPr>
        <w:t>te</w:t>
      </w:r>
      <w:r w:rsidRPr="00CE3D13" w:rsidR="000B2927">
        <w:rPr>
          <w:color w:val="000000"/>
        </w:rPr>
        <w:t xml:space="preserve"> ja teevii</w:t>
      </w:r>
      <w:r w:rsidR="000B2927">
        <w:rPr>
          <w:color w:val="000000"/>
        </w:rPr>
        <w:t>t</w:t>
      </w:r>
      <w:r w:rsidRPr="00CE3D13" w:rsidR="000B2927">
        <w:rPr>
          <w:color w:val="000000"/>
        </w:rPr>
        <w:t>ad</w:t>
      </w:r>
      <w:r w:rsidR="000B2927">
        <w:rPr>
          <w:color w:val="000000"/>
        </w:rPr>
        <w:t>e</w:t>
      </w:r>
      <w:r w:rsidRPr="00CE3D13" w:rsidR="000B2927">
        <w:rPr>
          <w:color w:val="000000"/>
        </w:rPr>
        <w:t xml:space="preserve"> asenda</w:t>
      </w:r>
      <w:r w:rsidR="000B2927">
        <w:rPr>
          <w:color w:val="000000"/>
        </w:rPr>
        <w:t>mist</w:t>
      </w:r>
      <w:r w:rsidRPr="00CE3D13" w:rsidR="000B2927">
        <w:rPr>
          <w:color w:val="000000"/>
        </w:rPr>
        <w:t xml:space="preserve"> LED-ekraanidega ning </w:t>
      </w:r>
      <w:r w:rsidR="000B2927">
        <w:rPr>
          <w:color w:val="000000"/>
        </w:rPr>
        <w:t xml:space="preserve">ürituse ajal märgete tegemiseks saaks eelistada </w:t>
      </w:r>
      <w:r w:rsidRPr="00CE3D13" w:rsidR="000B2927">
        <w:rPr>
          <w:color w:val="000000"/>
        </w:rPr>
        <w:t>pabertahvli</w:t>
      </w:r>
      <w:r w:rsidR="000B2927">
        <w:rPr>
          <w:color w:val="000000"/>
        </w:rPr>
        <w:t>tele</w:t>
      </w:r>
      <w:r w:rsidRPr="00CE3D13" w:rsidR="000B2927">
        <w:rPr>
          <w:color w:val="000000"/>
        </w:rPr>
        <w:t xml:space="preserve"> markertahvl</w:t>
      </w:r>
      <w:r w:rsidR="000B2927">
        <w:rPr>
          <w:color w:val="000000"/>
        </w:rPr>
        <w:t>eid</w:t>
      </w:r>
      <w:r w:rsidRPr="00CE3D13" w:rsidR="000B2927">
        <w:rPr>
          <w:color w:val="000000"/>
        </w:rPr>
        <w:t>.</w:t>
      </w:r>
    </w:p>
    <w:p w:rsidRPr="00CE3D13" w:rsidR="00CE3D13" w:rsidP="002460AA" w:rsidRDefault="000B2927" w14:paraId="1D9659FF" w14:textId="4E6228F6">
      <w:pPr>
        <w:pStyle w:val="NormalWeb"/>
        <w:numPr>
          <w:ilvl w:val="1"/>
          <w:numId w:val="2"/>
        </w:numPr>
        <w:spacing w:before="0" w:beforeAutospacing="0" w:after="240" w:afterAutospacing="0" w:line="276" w:lineRule="auto"/>
        <w:ind w:left="357" w:firstLine="0"/>
        <w:jc w:val="both"/>
        <w:rPr>
          <w:color w:val="000000"/>
        </w:rPr>
      </w:pPr>
      <w:r w:rsidRPr="000B2927">
        <w:rPr>
          <w:b/>
          <w:bCs/>
          <w:color w:val="000000"/>
        </w:rPr>
        <w:t>Infovahetus</w:t>
      </w:r>
      <w:r>
        <w:rPr>
          <w:b/>
          <w:bCs/>
          <w:color w:val="000000"/>
        </w:rPr>
        <w:t>eks</w:t>
      </w:r>
      <w:r>
        <w:rPr>
          <w:color w:val="000000"/>
        </w:rPr>
        <w:t>, sh r</w:t>
      </w:r>
      <w:r w:rsidRPr="00CE3D13" w:rsidR="00CE3D13">
        <w:rPr>
          <w:color w:val="000000"/>
        </w:rPr>
        <w:t>eklaam</w:t>
      </w:r>
      <w:r>
        <w:rPr>
          <w:color w:val="000000"/>
        </w:rPr>
        <w:t>toimingute</w:t>
      </w:r>
      <w:r w:rsidRPr="00CE3D13" w:rsidR="00CE3D13">
        <w:rPr>
          <w:color w:val="000000"/>
        </w:rPr>
        <w:t xml:space="preserve"> ning vajalik</w:t>
      </w:r>
      <w:r>
        <w:rPr>
          <w:color w:val="000000"/>
        </w:rPr>
        <w:t>e</w:t>
      </w:r>
      <w:r w:rsidRPr="00CE3D13" w:rsidR="00CE3D13">
        <w:rPr>
          <w:color w:val="000000"/>
        </w:rPr>
        <w:t xml:space="preserve"> </w:t>
      </w:r>
      <w:r w:rsidRPr="000B2927" w:rsidR="00CE3D13">
        <w:rPr>
          <w:color w:val="000000"/>
        </w:rPr>
        <w:t>teavitustegevus</w:t>
      </w:r>
      <w:r>
        <w:rPr>
          <w:color w:val="000000"/>
        </w:rPr>
        <w:t>te korraldamiseks</w:t>
      </w:r>
      <w:r w:rsidRPr="00CE3D13" w:rsidR="00CE3D13">
        <w:rPr>
          <w:color w:val="000000"/>
        </w:rPr>
        <w:t xml:space="preserve"> nii enne kui pärast üritust</w:t>
      </w:r>
      <w:r>
        <w:rPr>
          <w:color w:val="000000"/>
        </w:rPr>
        <w:t>,</w:t>
      </w:r>
      <w:r w:rsidRPr="00CE3D13" w:rsidR="00CE3D13">
        <w:rPr>
          <w:color w:val="000000"/>
        </w:rPr>
        <w:t xml:space="preserve"> võiks</w:t>
      </w:r>
      <w:r>
        <w:rPr>
          <w:color w:val="000000"/>
        </w:rPr>
        <w:t xml:space="preserve"> eelistada </w:t>
      </w:r>
      <w:r w:rsidR="00944C4C">
        <w:rPr>
          <w:color w:val="000000"/>
        </w:rPr>
        <w:t xml:space="preserve">eelkõige </w:t>
      </w:r>
      <w:r>
        <w:rPr>
          <w:color w:val="000000"/>
        </w:rPr>
        <w:t xml:space="preserve">ja üksnes </w:t>
      </w:r>
      <w:r w:rsidRPr="00CE3D13" w:rsidR="00CE3D13">
        <w:rPr>
          <w:color w:val="000000"/>
        </w:rPr>
        <w:t>digikanal</w:t>
      </w:r>
      <w:r>
        <w:rPr>
          <w:color w:val="000000"/>
        </w:rPr>
        <w:t>eid</w:t>
      </w:r>
      <w:r w:rsidRPr="00CE3D13" w:rsidR="00CE3D13">
        <w:rPr>
          <w:color w:val="000000"/>
        </w:rPr>
        <w:t xml:space="preserve">, sh </w:t>
      </w:r>
      <w:r>
        <w:rPr>
          <w:color w:val="000000"/>
        </w:rPr>
        <w:t xml:space="preserve">e-posti ja </w:t>
      </w:r>
      <w:r w:rsidRPr="00CE3D13" w:rsidR="00CE3D13">
        <w:rPr>
          <w:color w:val="000000"/>
        </w:rPr>
        <w:t>sotsiaalmeedia</w:t>
      </w:r>
      <w:r>
        <w:rPr>
          <w:color w:val="000000"/>
        </w:rPr>
        <w:t>t</w:t>
      </w:r>
      <w:r w:rsidRPr="00CE3D13" w:rsidR="00CE3D13">
        <w:rPr>
          <w:color w:val="000000"/>
        </w:rPr>
        <w:t xml:space="preserve"> ning osalejate registreerimist </w:t>
      </w:r>
      <w:r w:rsidR="00944C4C">
        <w:rPr>
          <w:color w:val="000000"/>
        </w:rPr>
        <w:t xml:space="preserve">(ka kohapeal) </w:t>
      </w:r>
      <w:r>
        <w:rPr>
          <w:color w:val="000000"/>
        </w:rPr>
        <w:t>saaks</w:t>
      </w:r>
      <w:r w:rsidRPr="00CE3D13" w:rsidR="00CE3D13">
        <w:rPr>
          <w:color w:val="000000"/>
        </w:rPr>
        <w:t xml:space="preserve"> </w:t>
      </w:r>
      <w:r w:rsidR="00944C4C">
        <w:rPr>
          <w:color w:val="000000"/>
        </w:rPr>
        <w:t xml:space="preserve">hõlpsasti </w:t>
      </w:r>
      <w:r w:rsidRPr="00CE3D13" w:rsidR="00CE3D13">
        <w:rPr>
          <w:color w:val="000000"/>
        </w:rPr>
        <w:t xml:space="preserve">korraldada veebipõhiselt. </w:t>
      </w:r>
      <w:r w:rsidRPr="00CE3D13">
        <w:rPr>
          <w:color w:val="000000"/>
        </w:rPr>
        <w:t>E</w:t>
      </w:r>
      <w:r>
        <w:rPr>
          <w:color w:val="000000"/>
        </w:rPr>
        <w:t xml:space="preserve">-teadete </w:t>
      </w:r>
      <w:r w:rsidRPr="00CE3D13">
        <w:rPr>
          <w:color w:val="000000"/>
        </w:rPr>
        <w:t xml:space="preserve">edastamisel ning veebisuhtluse </w:t>
      </w:r>
      <w:r>
        <w:rPr>
          <w:color w:val="000000"/>
        </w:rPr>
        <w:t xml:space="preserve">korraldamisel </w:t>
      </w:r>
      <w:r w:rsidRPr="00CE3D13">
        <w:rPr>
          <w:color w:val="000000"/>
        </w:rPr>
        <w:t xml:space="preserve">peaks mh </w:t>
      </w:r>
      <w:r>
        <w:rPr>
          <w:color w:val="000000"/>
        </w:rPr>
        <w:t xml:space="preserve">olema läbi mõeldud ja tagatud </w:t>
      </w:r>
      <w:r w:rsidRPr="00CE3D13">
        <w:rPr>
          <w:color w:val="000000"/>
        </w:rPr>
        <w:t xml:space="preserve">digiprügi </w:t>
      </w:r>
      <w:r>
        <w:rPr>
          <w:color w:val="000000"/>
        </w:rPr>
        <w:t>koristamine</w:t>
      </w:r>
      <w:r w:rsidRPr="00CE3D13">
        <w:rPr>
          <w:color w:val="000000"/>
        </w:rPr>
        <w:t xml:space="preserve">.   </w:t>
      </w:r>
    </w:p>
    <w:p w:rsidRPr="00CE3D13" w:rsidR="00CE3D13" w:rsidP="002460AA" w:rsidRDefault="00CE3D13" w14:paraId="2C07543E" w14:textId="295646D5">
      <w:pPr>
        <w:pStyle w:val="NormalWeb"/>
        <w:numPr>
          <w:ilvl w:val="1"/>
          <w:numId w:val="2"/>
        </w:numPr>
        <w:spacing w:before="0" w:beforeAutospacing="0" w:after="240" w:afterAutospacing="0" w:line="276" w:lineRule="auto"/>
        <w:ind w:left="357" w:firstLine="0"/>
        <w:jc w:val="both"/>
        <w:rPr>
          <w:color w:val="000000"/>
        </w:rPr>
      </w:pPr>
      <w:r w:rsidRPr="00C55F6B">
        <w:rPr>
          <w:b/>
          <w:bCs/>
          <w:color w:val="000000"/>
        </w:rPr>
        <w:t>Toitlustus</w:t>
      </w:r>
      <w:r w:rsidRPr="00C55F6B" w:rsidR="00C55F6B">
        <w:rPr>
          <w:b/>
          <w:bCs/>
          <w:color w:val="000000"/>
        </w:rPr>
        <w:t>t</w:t>
      </w:r>
      <w:r w:rsidR="00C55F6B">
        <w:rPr>
          <w:color w:val="000000"/>
        </w:rPr>
        <w:t xml:space="preserve"> peaks korraldama läbimõeldult, arvestades einete kvaliteedi ja portsjonite eri suurustega, eelistades </w:t>
      </w:r>
      <w:r w:rsidR="00D1407C">
        <w:rPr>
          <w:color w:val="000000"/>
        </w:rPr>
        <w:t xml:space="preserve">eelkõige </w:t>
      </w:r>
      <w:r w:rsidR="00C55F6B">
        <w:rPr>
          <w:color w:val="000000"/>
        </w:rPr>
        <w:t xml:space="preserve">kohalikke, hooajalisi </w:t>
      </w:r>
      <w:r w:rsidR="00D1407C">
        <w:rPr>
          <w:color w:val="000000"/>
        </w:rPr>
        <w:t>ja/</w:t>
      </w:r>
      <w:r w:rsidR="00C55F6B">
        <w:rPr>
          <w:color w:val="000000"/>
        </w:rPr>
        <w:t>või mahetooteid ning tagades serveerimisel korduvkasutatavad nõud ja kannuvee. Kui ühekordsete nõuete kasutamine on</w:t>
      </w:r>
      <w:r w:rsidR="00D1407C">
        <w:rPr>
          <w:color w:val="000000"/>
        </w:rPr>
        <w:t xml:space="preserve"> ikkagi</w:t>
      </w:r>
      <w:r w:rsidR="00C55F6B">
        <w:rPr>
          <w:color w:val="000000"/>
        </w:rPr>
        <w:t xml:space="preserve"> vältimatu, tuleks võimalusel </w:t>
      </w:r>
      <w:r w:rsidR="002460AA">
        <w:rPr>
          <w:color w:val="000000"/>
        </w:rPr>
        <w:t>muretseda</w:t>
      </w:r>
      <w:r w:rsidR="00C55F6B">
        <w:rPr>
          <w:color w:val="000000"/>
        </w:rPr>
        <w:t xml:space="preserve"> biolagunevat</w:t>
      </w:r>
      <w:r w:rsidR="00B0679A">
        <w:rPr>
          <w:color w:val="000000"/>
        </w:rPr>
        <w:t>est või taaskasutatud materjalidest valmistatud nõusid</w:t>
      </w:r>
      <w:r w:rsidR="00D1407C">
        <w:rPr>
          <w:color w:val="000000"/>
        </w:rPr>
        <w:t>/ söögiriistu</w:t>
      </w:r>
      <w:r w:rsidR="00B0679A">
        <w:rPr>
          <w:color w:val="000000"/>
        </w:rPr>
        <w:t xml:space="preserve"> ning korraldada nende </w:t>
      </w:r>
      <w:r w:rsidR="00D1407C">
        <w:rPr>
          <w:color w:val="000000"/>
        </w:rPr>
        <w:t>nõuetekohane</w:t>
      </w:r>
      <w:r w:rsidR="00B0679A">
        <w:rPr>
          <w:color w:val="000000"/>
        </w:rPr>
        <w:t xml:space="preserve"> utiliseerimine. </w:t>
      </w:r>
      <w:r w:rsidR="00A02A12">
        <w:rPr>
          <w:color w:val="000000"/>
        </w:rPr>
        <w:t>Tasakaalustatud menüü tagamiseks ning toidu raiskamise vältimiseks oleks mõistlik uurida õigeaegselt (nt registreerimise avamisel/ kinnitamisel) osalejate individuaalseid eelistusi</w:t>
      </w:r>
      <w:r w:rsidR="004160AB">
        <w:rPr>
          <w:color w:val="000000"/>
        </w:rPr>
        <w:t>, sh võimalikke talumatusi</w:t>
      </w:r>
      <w:r w:rsidR="00A02A12">
        <w:rPr>
          <w:color w:val="000000"/>
        </w:rPr>
        <w:t xml:space="preserve">.  </w:t>
      </w:r>
      <w:r w:rsidR="00C55F6B">
        <w:rPr>
          <w:color w:val="000000"/>
        </w:rPr>
        <w:t xml:space="preserve">  </w:t>
      </w:r>
    </w:p>
    <w:p w:rsidRPr="00CE3D13" w:rsidR="00CE3D13" w:rsidP="002460AA" w:rsidRDefault="002B7E56" w14:paraId="3037A8BD" w14:textId="3A77B4B2">
      <w:pPr>
        <w:pStyle w:val="NormalWeb"/>
        <w:numPr>
          <w:ilvl w:val="1"/>
          <w:numId w:val="2"/>
        </w:numPr>
        <w:spacing w:before="0" w:beforeAutospacing="0" w:after="240" w:afterAutospacing="0" w:line="276" w:lineRule="auto"/>
        <w:ind w:left="357" w:firstLine="0"/>
        <w:jc w:val="both"/>
        <w:rPr>
          <w:color w:val="000000"/>
        </w:rPr>
      </w:pPr>
      <w:r>
        <w:rPr>
          <w:color w:val="000000"/>
        </w:rPr>
        <w:t xml:space="preserve">Ürituse raames tekkivate </w:t>
      </w:r>
      <w:r w:rsidRPr="00781859">
        <w:rPr>
          <w:b/>
          <w:bCs/>
          <w:color w:val="000000"/>
        </w:rPr>
        <w:t>j</w:t>
      </w:r>
      <w:r w:rsidRPr="00781859" w:rsidR="00CE3D13">
        <w:rPr>
          <w:b/>
          <w:bCs/>
          <w:color w:val="000000"/>
        </w:rPr>
        <w:t>äätme</w:t>
      </w:r>
      <w:r w:rsidRPr="00781859" w:rsidR="00F546F8">
        <w:rPr>
          <w:b/>
          <w:bCs/>
          <w:color w:val="000000"/>
        </w:rPr>
        <w:t>te</w:t>
      </w:r>
      <w:r w:rsidR="00F546F8">
        <w:rPr>
          <w:color w:val="000000"/>
        </w:rPr>
        <w:t xml:space="preserve"> </w:t>
      </w:r>
      <w:r>
        <w:rPr>
          <w:color w:val="000000"/>
        </w:rPr>
        <w:t>hulk tuleks võimalusel minimeerida</w:t>
      </w:r>
      <w:r w:rsidR="00CB37B5">
        <w:rPr>
          <w:color w:val="000000"/>
        </w:rPr>
        <w:t xml:space="preserve"> tänu läbimõeldud valikutele </w:t>
      </w:r>
      <w:r w:rsidR="00781859">
        <w:rPr>
          <w:color w:val="000000"/>
        </w:rPr>
        <w:t xml:space="preserve">juba planeerimisega alustades. Kui jäätmeteke on ikkagi vältimatu, tuleb tagada </w:t>
      </w:r>
      <w:r w:rsidR="00876635">
        <w:rPr>
          <w:color w:val="000000"/>
        </w:rPr>
        <w:t>prügi nõuetekohane sorteerimine</w:t>
      </w:r>
      <w:r w:rsidR="00067539">
        <w:rPr>
          <w:color w:val="000000"/>
        </w:rPr>
        <w:t>, korraldades mõistlikud prügi kogumise punktid</w:t>
      </w:r>
      <w:r w:rsidR="000608B6">
        <w:rPr>
          <w:color w:val="000000"/>
        </w:rPr>
        <w:t xml:space="preserve"> koos vajalike viitadega</w:t>
      </w:r>
      <w:r w:rsidR="00067539">
        <w:rPr>
          <w:color w:val="000000"/>
        </w:rPr>
        <w:t>,</w:t>
      </w:r>
      <w:r w:rsidR="00876635">
        <w:rPr>
          <w:color w:val="000000"/>
        </w:rPr>
        <w:t xml:space="preserve"> </w:t>
      </w:r>
      <w:r w:rsidR="000D6FCE">
        <w:rPr>
          <w:color w:val="000000"/>
        </w:rPr>
        <w:t>äraviimine</w:t>
      </w:r>
      <w:r w:rsidR="002437E0">
        <w:rPr>
          <w:color w:val="000000"/>
        </w:rPr>
        <w:t xml:space="preserve"> (vältimaks prügi kuhjumist ürituse ajal)</w:t>
      </w:r>
      <w:r w:rsidR="000D6FCE">
        <w:rPr>
          <w:color w:val="000000"/>
        </w:rPr>
        <w:t xml:space="preserve"> </w:t>
      </w:r>
      <w:r w:rsidR="00876635">
        <w:rPr>
          <w:color w:val="000000"/>
        </w:rPr>
        <w:t>ja utiliseerimine</w:t>
      </w:r>
      <w:r w:rsidR="00067539">
        <w:rPr>
          <w:color w:val="000000"/>
        </w:rPr>
        <w:t xml:space="preserve">, sh </w:t>
      </w:r>
      <w:r w:rsidR="00242B14">
        <w:rPr>
          <w:color w:val="000000"/>
        </w:rPr>
        <w:t xml:space="preserve">tagada võimalusel </w:t>
      </w:r>
      <w:r w:rsidR="002C7299">
        <w:rPr>
          <w:color w:val="000000"/>
        </w:rPr>
        <w:t xml:space="preserve">korduskasutus ja </w:t>
      </w:r>
      <w:r w:rsidR="00242B14">
        <w:rPr>
          <w:color w:val="000000"/>
        </w:rPr>
        <w:t>ringlussevõtt</w:t>
      </w:r>
      <w:r w:rsidR="00876635">
        <w:rPr>
          <w:color w:val="000000"/>
        </w:rPr>
        <w:t xml:space="preserve">. </w:t>
      </w:r>
      <w:r w:rsidR="00881749">
        <w:rPr>
          <w:color w:val="000000"/>
        </w:rPr>
        <w:t xml:space="preserve"> </w:t>
      </w:r>
      <w:r>
        <w:rPr>
          <w:color w:val="000000"/>
        </w:rPr>
        <w:t xml:space="preserve"> </w:t>
      </w:r>
    </w:p>
    <w:p w:rsidRPr="00A021F0" w:rsidR="00CE3D13" w:rsidP="00A021F0" w:rsidRDefault="00110023" w14:paraId="73F0BE6D" w14:textId="28DA32A6">
      <w:pPr>
        <w:pStyle w:val="NormalWeb"/>
        <w:numPr>
          <w:ilvl w:val="1"/>
          <w:numId w:val="2"/>
        </w:numPr>
        <w:spacing w:before="0" w:beforeAutospacing="0" w:after="240" w:afterAutospacing="0" w:line="276" w:lineRule="auto"/>
        <w:ind w:left="357" w:firstLine="0"/>
        <w:jc w:val="both"/>
        <w:rPr>
          <w:color w:val="000000"/>
        </w:rPr>
      </w:pPr>
      <w:r>
        <w:rPr>
          <w:color w:val="000000"/>
        </w:rPr>
        <w:t>Võimalusel tuleks ü</w:t>
      </w:r>
      <w:r w:rsidRPr="003E40F4" w:rsidR="003E40F4">
        <w:rPr>
          <w:color w:val="000000"/>
        </w:rPr>
        <w:t>ritusel kasuta</w:t>
      </w:r>
      <w:r>
        <w:rPr>
          <w:color w:val="000000"/>
        </w:rPr>
        <w:t>da</w:t>
      </w:r>
      <w:r w:rsidRPr="003E40F4" w:rsidR="003E40F4">
        <w:rPr>
          <w:color w:val="000000"/>
        </w:rPr>
        <w:t xml:space="preserve"> </w:t>
      </w:r>
      <w:r>
        <w:rPr>
          <w:color w:val="000000"/>
        </w:rPr>
        <w:t xml:space="preserve">suurema energia- ja veesäästlikkusega </w:t>
      </w:r>
      <w:r w:rsidRPr="00343A0C" w:rsidR="00343A0C">
        <w:rPr>
          <w:b/>
          <w:bCs/>
          <w:color w:val="000000"/>
        </w:rPr>
        <w:t>seadme</w:t>
      </w:r>
      <w:r w:rsidR="001B28A5">
        <w:rPr>
          <w:b/>
          <w:bCs/>
          <w:color w:val="000000"/>
        </w:rPr>
        <w:t>id</w:t>
      </w:r>
      <w:r w:rsidR="00343A0C">
        <w:rPr>
          <w:color w:val="000000"/>
        </w:rPr>
        <w:t xml:space="preserve"> </w:t>
      </w:r>
      <w:r>
        <w:rPr>
          <w:color w:val="000000"/>
        </w:rPr>
        <w:t xml:space="preserve">ja inventari </w:t>
      </w:r>
      <w:r w:rsidR="007012D3">
        <w:rPr>
          <w:color w:val="000000"/>
        </w:rPr>
        <w:t xml:space="preserve">(nt </w:t>
      </w:r>
      <w:r w:rsidR="0082593B">
        <w:rPr>
          <w:color w:val="000000"/>
        </w:rPr>
        <w:t>siseruumi</w:t>
      </w:r>
      <w:r>
        <w:rPr>
          <w:color w:val="000000"/>
        </w:rPr>
        <w:t>d</w:t>
      </w:r>
      <w:r w:rsidR="0082593B">
        <w:rPr>
          <w:color w:val="000000"/>
        </w:rPr>
        <w:t>e jahutamiseks/ soojendamiseks, valgustamiseks, veevarustuseks jne)</w:t>
      </w:r>
      <w:r w:rsidR="001B28A5">
        <w:rPr>
          <w:color w:val="000000"/>
        </w:rPr>
        <w:t xml:space="preserve">, </w:t>
      </w:r>
      <w:r w:rsidR="00480A7D">
        <w:rPr>
          <w:color w:val="000000"/>
        </w:rPr>
        <w:t>tagades nende optimaalsem</w:t>
      </w:r>
      <w:r w:rsidR="00707656">
        <w:rPr>
          <w:color w:val="000000"/>
        </w:rPr>
        <w:t xml:space="preserve">a koormuse ning </w:t>
      </w:r>
      <w:r w:rsidR="00B069A0">
        <w:rPr>
          <w:color w:val="000000"/>
        </w:rPr>
        <w:t>vältid</w:t>
      </w:r>
      <w:r w:rsidR="001B28A5">
        <w:rPr>
          <w:color w:val="000000"/>
        </w:rPr>
        <w:t xml:space="preserve">es </w:t>
      </w:r>
      <w:r w:rsidR="00191E18">
        <w:rPr>
          <w:color w:val="000000"/>
        </w:rPr>
        <w:t xml:space="preserve">nende </w:t>
      </w:r>
      <w:r w:rsidR="00707656">
        <w:rPr>
          <w:color w:val="000000"/>
        </w:rPr>
        <w:t>n-ö</w:t>
      </w:r>
      <w:r w:rsidR="001B28A5">
        <w:rPr>
          <w:color w:val="000000"/>
        </w:rPr>
        <w:t xml:space="preserve"> </w:t>
      </w:r>
      <w:r w:rsidR="00887FDA">
        <w:rPr>
          <w:color w:val="000000"/>
        </w:rPr>
        <w:t>„tühja“ tööd</w:t>
      </w:r>
      <w:r w:rsidR="001B28A5">
        <w:rPr>
          <w:color w:val="000000"/>
        </w:rPr>
        <w:t xml:space="preserve">. </w:t>
      </w:r>
      <w:r w:rsidR="00887FDA">
        <w:rPr>
          <w:color w:val="000000"/>
        </w:rPr>
        <w:t xml:space="preserve"> </w:t>
      </w:r>
      <w:r w:rsidR="0082593B">
        <w:rPr>
          <w:color w:val="000000"/>
        </w:rPr>
        <w:t xml:space="preserve"> </w:t>
      </w:r>
      <w:r w:rsidR="00343A0C">
        <w:rPr>
          <w:color w:val="000000"/>
        </w:rPr>
        <w:t xml:space="preserve"> </w:t>
      </w:r>
    </w:p>
    <w:p w:rsidRPr="002A4D7F" w:rsidR="007D39DC" w:rsidP="007D39DC" w:rsidRDefault="00C77BB1" w14:paraId="0DA122D4" w14:textId="59DB4BA3">
      <w:pPr>
        <w:pStyle w:val="NormalWeb"/>
        <w:spacing w:before="0" w:beforeAutospacing="0" w:after="240" w:afterAutospacing="0" w:line="276" w:lineRule="auto"/>
        <w:jc w:val="both"/>
        <w:rPr>
          <w:color w:val="000000"/>
        </w:rPr>
      </w:pPr>
      <w:r>
        <w:rPr>
          <w:color w:val="000000"/>
        </w:rPr>
        <w:t>Perioodi 2021-2027 ÜKP fondide</w:t>
      </w:r>
      <w:r w:rsidR="009108BF">
        <w:rPr>
          <w:color w:val="000000"/>
        </w:rPr>
        <w:t xml:space="preserve"> kasutami</w:t>
      </w:r>
      <w:r w:rsidR="00D30F78">
        <w:rPr>
          <w:color w:val="000000"/>
        </w:rPr>
        <w:t xml:space="preserve">ne toob </w:t>
      </w:r>
      <w:r>
        <w:rPr>
          <w:color w:val="000000"/>
        </w:rPr>
        <w:t>toetuse saajatele väljakutse panustada</w:t>
      </w:r>
      <w:r w:rsidRPr="009108BF" w:rsidR="009108BF">
        <w:rPr>
          <w:color w:val="000000"/>
        </w:rPr>
        <w:t xml:space="preserve"> </w:t>
      </w:r>
      <w:r w:rsidR="009108BF">
        <w:rPr>
          <w:color w:val="000000"/>
        </w:rPr>
        <w:t>rohkem ja teadlikumalt</w:t>
      </w:r>
      <w:r>
        <w:rPr>
          <w:color w:val="000000"/>
        </w:rPr>
        <w:t xml:space="preserve"> keskkonnahoidu ka juhul, kuid </w:t>
      </w:r>
      <w:r w:rsidR="00264CE7">
        <w:rPr>
          <w:color w:val="000000"/>
        </w:rPr>
        <w:t xml:space="preserve">toetatavad </w:t>
      </w:r>
      <w:r w:rsidR="00891968">
        <w:rPr>
          <w:color w:val="000000"/>
        </w:rPr>
        <w:t>projekt</w:t>
      </w:r>
      <w:r w:rsidR="00264CE7">
        <w:rPr>
          <w:color w:val="000000"/>
        </w:rPr>
        <w:t>id</w:t>
      </w:r>
      <w:r w:rsidR="00891968">
        <w:rPr>
          <w:color w:val="000000"/>
        </w:rPr>
        <w:t xml:space="preserve"> ei ole rohepöörde ja kliimakindluse tagamisega otseselt seotud</w:t>
      </w:r>
      <w:r w:rsidRPr="0093393C" w:rsidR="009108BF">
        <w:rPr>
          <w:color w:val="000000"/>
        </w:rPr>
        <w:t>.</w:t>
      </w:r>
      <w:r w:rsidR="009108BF">
        <w:rPr>
          <w:color w:val="000000"/>
        </w:rPr>
        <w:t xml:space="preserve"> </w:t>
      </w:r>
      <w:r w:rsidR="00264CE7">
        <w:rPr>
          <w:color w:val="000000"/>
        </w:rPr>
        <w:t>P</w:t>
      </w:r>
      <w:r w:rsidRPr="00264CE7" w:rsidR="00264CE7">
        <w:rPr>
          <w:color w:val="000000"/>
        </w:rPr>
        <w:t xml:space="preserve">rojektide eesmärkide täitmiseks vajalike tegevuste </w:t>
      </w:r>
      <w:r w:rsidR="00D30F78">
        <w:rPr>
          <w:color w:val="000000"/>
        </w:rPr>
        <w:t>elluviimisel</w:t>
      </w:r>
      <w:r w:rsidRPr="00264CE7" w:rsidR="00264CE7">
        <w:rPr>
          <w:color w:val="000000"/>
        </w:rPr>
        <w:t xml:space="preserve"> </w:t>
      </w:r>
      <w:r w:rsidR="00891968">
        <w:rPr>
          <w:color w:val="000000"/>
        </w:rPr>
        <w:t xml:space="preserve">tuleks </w:t>
      </w:r>
      <w:r w:rsidRPr="00631869" w:rsidR="00631869">
        <w:rPr>
          <w:color w:val="000000"/>
        </w:rPr>
        <w:t>eelista</w:t>
      </w:r>
      <w:r w:rsidR="00264CE7">
        <w:rPr>
          <w:color w:val="000000"/>
        </w:rPr>
        <w:t>da</w:t>
      </w:r>
      <w:r w:rsidRPr="00631869" w:rsidR="00631869">
        <w:rPr>
          <w:color w:val="000000"/>
        </w:rPr>
        <w:t xml:space="preserve"> </w:t>
      </w:r>
      <w:r w:rsidR="00264CE7">
        <w:rPr>
          <w:color w:val="000000"/>
        </w:rPr>
        <w:t xml:space="preserve">ja/või juurutada </w:t>
      </w:r>
      <w:r w:rsidRPr="00631869" w:rsidR="00631869">
        <w:rPr>
          <w:color w:val="000000"/>
        </w:rPr>
        <w:t xml:space="preserve">läbivalt eesrindlikke </w:t>
      </w:r>
      <w:r w:rsidR="00264CE7">
        <w:rPr>
          <w:color w:val="000000"/>
        </w:rPr>
        <w:t xml:space="preserve">(võimalusel ka innovaatilisi) </w:t>
      </w:r>
      <w:r w:rsidRPr="00631869" w:rsidR="00631869">
        <w:rPr>
          <w:color w:val="000000"/>
        </w:rPr>
        <w:t>keskkonnasäästlikke lahendusi</w:t>
      </w:r>
      <w:r w:rsidR="00D06857">
        <w:rPr>
          <w:color w:val="000000"/>
        </w:rPr>
        <w:t xml:space="preserve"> </w:t>
      </w:r>
      <w:r w:rsidR="00A826CE">
        <w:rPr>
          <w:color w:val="000000"/>
        </w:rPr>
        <w:t xml:space="preserve">nii </w:t>
      </w:r>
      <w:r w:rsidR="00D06857">
        <w:rPr>
          <w:color w:val="000000"/>
        </w:rPr>
        <w:t xml:space="preserve">muutmaks järjepidevalt </w:t>
      </w:r>
      <w:r w:rsidRPr="00631869" w:rsidR="00631869">
        <w:rPr>
          <w:color w:val="000000"/>
        </w:rPr>
        <w:t>end</w:t>
      </w:r>
      <w:r w:rsidR="00264CE7">
        <w:rPr>
          <w:color w:val="000000"/>
        </w:rPr>
        <w:t>i</w:t>
      </w:r>
      <w:r w:rsidRPr="00631869" w:rsidR="00631869">
        <w:rPr>
          <w:color w:val="000000"/>
        </w:rPr>
        <w:t xml:space="preserve"> igapäevase</w:t>
      </w:r>
      <w:r w:rsidR="00D06857">
        <w:rPr>
          <w:color w:val="000000"/>
        </w:rPr>
        <w:t>id</w:t>
      </w:r>
      <w:r w:rsidRPr="00631869" w:rsidR="00631869">
        <w:rPr>
          <w:color w:val="000000"/>
        </w:rPr>
        <w:t xml:space="preserve"> harjumus</w:t>
      </w:r>
      <w:r w:rsidR="00D06857">
        <w:rPr>
          <w:color w:val="000000"/>
        </w:rPr>
        <w:t>i ja käitumis</w:t>
      </w:r>
      <w:r w:rsidR="00A826CE">
        <w:rPr>
          <w:color w:val="000000"/>
        </w:rPr>
        <w:t>mustreid</w:t>
      </w:r>
      <w:r w:rsidR="00D06857">
        <w:rPr>
          <w:color w:val="000000"/>
        </w:rPr>
        <w:t xml:space="preserve"> kui ka mõjutades eeskujulikult laiemat avalikkust. </w:t>
      </w:r>
      <w:r w:rsidR="007D39DC">
        <w:rPr>
          <w:color w:val="000000"/>
        </w:rPr>
        <w:t>P</w:t>
      </w:r>
      <w:r w:rsidRPr="002A4D7F" w:rsidR="007D39DC">
        <w:rPr>
          <w:color w:val="000000"/>
        </w:rPr>
        <w:t xml:space="preserve">rojekti </w:t>
      </w:r>
      <w:r w:rsidR="007D39DC">
        <w:rPr>
          <w:color w:val="000000"/>
        </w:rPr>
        <w:t xml:space="preserve">kõiki </w:t>
      </w:r>
      <w:r w:rsidRPr="002A4D7F" w:rsidR="007D39DC">
        <w:rPr>
          <w:color w:val="000000"/>
        </w:rPr>
        <w:t>tegevusi</w:t>
      </w:r>
      <w:r w:rsidR="00A31734">
        <w:rPr>
          <w:color w:val="000000"/>
        </w:rPr>
        <w:t xml:space="preserve"> ja neid toetavaid toiminguid</w:t>
      </w:r>
      <w:r w:rsidRPr="002A4D7F" w:rsidR="007D39DC">
        <w:rPr>
          <w:color w:val="000000"/>
        </w:rPr>
        <w:t xml:space="preserve"> tuleks kavandada ja korraldada läbimõeldult, panustades </w:t>
      </w:r>
      <w:r w:rsidRPr="002A4D7F" w:rsidR="007D39DC">
        <w:rPr>
          <w:color w:val="000000"/>
        </w:rPr>
        <w:lastRenderedPageBreak/>
        <w:t xml:space="preserve">võimalusel nn </w:t>
      </w:r>
      <w:r w:rsidRPr="00D44FD7" w:rsidR="007D39DC">
        <w:rPr>
          <w:b/>
          <w:bCs/>
          <w:color w:val="000000"/>
        </w:rPr>
        <w:t>süsiniku käejälje</w:t>
      </w:r>
      <w:r w:rsidRPr="002A4D7F" w:rsidR="007D39DC">
        <w:rPr>
          <w:color w:val="000000"/>
        </w:rPr>
        <w:t xml:space="preserve"> tekkimisse ehk </w:t>
      </w:r>
      <w:r w:rsidR="00992DFA">
        <w:rPr>
          <w:color w:val="000000"/>
        </w:rPr>
        <w:t xml:space="preserve">projekti rakendamisega </w:t>
      </w:r>
      <w:r w:rsidRPr="002A4D7F" w:rsidR="007D39DC">
        <w:rPr>
          <w:color w:val="000000"/>
        </w:rPr>
        <w:t xml:space="preserve">ei peaks üksnes kaasnema minimaalne ökoloogiline jalajälg vaid ka </w:t>
      </w:r>
      <w:r w:rsidR="0050326E">
        <w:rPr>
          <w:color w:val="000000"/>
        </w:rPr>
        <w:t>kestlik</w:t>
      </w:r>
      <w:r w:rsidRPr="002A4D7F" w:rsidR="007D39DC">
        <w:rPr>
          <w:color w:val="000000"/>
        </w:rPr>
        <w:t xml:space="preserve"> ja ulatuslikum positiivne mõju kliimamuutustele väljaspool konkreetse t</w:t>
      </w:r>
      <w:r w:rsidR="00444182">
        <w:rPr>
          <w:color w:val="000000"/>
        </w:rPr>
        <w:t>oimingu, t</w:t>
      </w:r>
      <w:r w:rsidRPr="002A4D7F" w:rsidR="007D39DC">
        <w:rPr>
          <w:color w:val="000000"/>
        </w:rPr>
        <w:t>egevuse, projekti ja asutuse.</w:t>
      </w:r>
    </w:p>
    <w:p w:rsidR="00CE3D13" w:rsidP="00631869" w:rsidRDefault="00CE3D13" w14:paraId="27963E95" w14:textId="79C1E346">
      <w:pPr>
        <w:pStyle w:val="NormalWeb"/>
        <w:spacing w:before="0" w:beforeAutospacing="0" w:after="240" w:afterAutospacing="0" w:line="276" w:lineRule="auto"/>
        <w:jc w:val="both"/>
        <w:rPr>
          <w:color w:val="000000"/>
        </w:rPr>
      </w:pPr>
    </w:p>
    <w:p w:rsidRPr="004F6527" w:rsidR="0011660D" w:rsidP="00466A85" w:rsidRDefault="00353086" w14:paraId="69A8DEAE" w14:textId="7D03B0D6">
      <w:pPr>
        <w:spacing w:after="240" w:line="276" w:lineRule="auto"/>
        <w:rPr>
          <w:sz w:val="24"/>
          <w:szCs w:val="24"/>
        </w:rPr>
      </w:pPr>
      <w:r w:rsidRPr="004F6527">
        <w:rPr>
          <w:b/>
          <w:bCs/>
          <w:sz w:val="24"/>
          <w:szCs w:val="24"/>
        </w:rPr>
        <w:t>Täiendavad materjalid</w:t>
      </w:r>
      <w:r w:rsidRPr="004F6527">
        <w:rPr>
          <w:sz w:val="24"/>
          <w:szCs w:val="24"/>
        </w:rPr>
        <w:t xml:space="preserve">: </w:t>
      </w:r>
    </w:p>
    <w:p w:rsidRPr="004F6527" w:rsidR="009953ED" w:rsidP="00353086" w:rsidRDefault="00370841" w14:paraId="4C71C97A" w14:textId="63DB7A2A">
      <w:pPr>
        <w:pStyle w:val="ListParagraph"/>
        <w:numPr>
          <w:ilvl w:val="0"/>
          <w:numId w:val="5"/>
        </w:numPr>
        <w:spacing w:after="240" w:line="276" w:lineRule="auto"/>
        <w:rPr>
          <w:sz w:val="24"/>
          <w:szCs w:val="24"/>
        </w:rPr>
      </w:pPr>
      <w:r w:rsidRPr="004F6527">
        <w:rPr>
          <w:sz w:val="24"/>
          <w:szCs w:val="24"/>
          <w:u w:val="single"/>
        </w:rPr>
        <w:t>Bioneer.ee</w:t>
      </w:r>
      <w:r w:rsidRPr="004F6527">
        <w:rPr>
          <w:sz w:val="24"/>
          <w:szCs w:val="24"/>
        </w:rPr>
        <w:t xml:space="preserve">: </w:t>
      </w:r>
      <w:r w:rsidRPr="004F6527" w:rsidR="009953ED">
        <w:rPr>
          <w:sz w:val="24"/>
          <w:szCs w:val="24"/>
        </w:rPr>
        <w:t xml:space="preserve">Praktiline juhend keskkonnasõbralike ürituste korraldamiseks, kättesaadav </w:t>
      </w:r>
      <w:r w:rsidRPr="004F6527">
        <w:rPr>
          <w:sz w:val="24"/>
          <w:szCs w:val="24"/>
        </w:rPr>
        <w:t>lehelt:</w:t>
      </w:r>
      <w:r w:rsidRPr="004F6527" w:rsidR="009953ED">
        <w:rPr>
          <w:sz w:val="24"/>
          <w:szCs w:val="24"/>
        </w:rPr>
        <w:t xml:space="preserve"> </w:t>
      </w:r>
      <w:hyperlink w:history="1" r:id="rId18">
        <w:r w:rsidRPr="004F6527" w:rsidR="00353086">
          <w:rPr>
            <w:rStyle w:val="Hyperlink"/>
            <w:sz w:val="24"/>
            <w:szCs w:val="24"/>
          </w:rPr>
          <w:t>https://bioneer.ee/keskkonnas%C3%B5braliku-%C3%BCrituse-korraldamise-juhend-sai-valmis</w:t>
        </w:r>
      </w:hyperlink>
    </w:p>
    <w:p w:rsidRPr="004F6527" w:rsidR="00353086" w:rsidP="00353086" w:rsidRDefault="00E56E3D" w14:paraId="11A3F090" w14:textId="68EDE285">
      <w:pPr>
        <w:pStyle w:val="ListParagraph"/>
        <w:numPr>
          <w:ilvl w:val="0"/>
          <w:numId w:val="5"/>
        </w:numPr>
        <w:spacing w:after="240" w:line="276" w:lineRule="auto"/>
        <w:rPr>
          <w:sz w:val="24"/>
          <w:szCs w:val="24"/>
        </w:rPr>
      </w:pPr>
      <w:r w:rsidRPr="004F6527">
        <w:rPr>
          <w:sz w:val="24"/>
          <w:szCs w:val="24"/>
          <w:u w:val="single"/>
        </w:rPr>
        <w:t>Tartu</w:t>
      </w:r>
      <w:r w:rsidRPr="004F6527" w:rsidR="00370841">
        <w:rPr>
          <w:sz w:val="24"/>
          <w:szCs w:val="24"/>
          <w:u w:val="single"/>
        </w:rPr>
        <w:t>20</w:t>
      </w:r>
      <w:r w:rsidRPr="004F6527">
        <w:rPr>
          <w:sz w:val="24"/>
          <w:szCs w:val="24"/>
          <w:u w:val="single"/>
        </w:rPr>
        <w:t>24</w:t>
      </w:r>
      <w:r w:rsidRPr="004F6527" w:rsidR="00370841">
        <w:rPr>
          <w:sz w:val="24"/>
          <w:szCs w:val="24"/>
          <w:u w:val="single"/>
        </w:rPr>
        <w:t>.</w:t>
      </w:r>
      <w:r w:rsidRPr="004F6527" w:rsidR="005F247A">
        <w:rPr>
          <w:sz w:val="24"/>
          <w:szCs w:val="24"/>
          <w:u w:val="single"/>
        </w:rPr>
        <w:t>ee</w:t>
      </w:r>
      <w:r w:rsidRPr="004F6527" w:rsidR="005F247A">
        <w:rPr>
          <w:sz w:val="24"/>
          <w:szCs w:val="24"/>
        </w:rPr>
        <w:t>:</w:t>
      </w:r>
      <w:r w:rsidRPr="004F6527" w:rsidR="00353086">
        <w:rPr>
          <w:sz w:val="24"/>
          <w:szCs w:val="24"/>
        </w:rPr>
        <w:t xml:space="preserve"> </w:t>
      </w:r>
      <w:r w:rsidRPr="004F6527">
        <w:rPr>
          <w:sz w:val="24"/>
          <w:szCs w:val="24"/>
        </w:rPr>
        <w:t>Keskkonnahoidlike sündmuste korraldamise juhend</w:t>
      </w:r>
      <w:r w:rsidRPr="004F6527" w:rsidR="00370841">
        <w:rPr>
          <w:sz w:val="24"/>
          <w:szCs w:val="24"/>
        </w:rPr>
        <w:t xml:space="preserve">, kättesaadav lehelt: </w:t>
      </w:r>
      <w:hyperlink w:history="1" w:anchor="jaatmekaitlus" r:id="rId19">
        <w:r w:rsidRPr="004F6527" w:rsidR="00370841">
          <w:rPr>
            <w:rStyle w:val="Hyperlink"/>
            <w:sz w:val="24"/>
            <w:szCs w:val="24"/>
          </w:rPr>
          <w:t>https://tartu2024.ee/ellujaamise-kunstid/keskkonnajuhend#jaatmekaitlus</w:t>
        </w:r>
      </w:hyperlink>
      <w:r w:rsidRPr="004F6527" w:rsidR="00370841">
        <w:rPr>
          <w:sz w:val="24"/>
          <w:szCs w:val="24"/>
        </w:rPr>
        <w:t xml:space="preserve"> </w:t>
      </w:r>
    </w:p>
    <w:p w:rsidRPr="004F6527" w:rsidR="00370841" w:rsidP="005F247A" w:rsidRDefault="00D142CD" w14:paraId="0C99F5C1" w14:textId="39806483">
      <w:pPr>
        <w:pStyle w:val="ListParagraph"/>
        <w:numPr>
          <w:ilvl w:val="0"/>
          <w:numId w:val="5"/>
        </w:numPr>
        <w:spacing w:after="240" w:line="276" w:lineRule="auto"/>
        <w:rPr>
          <w:sz w:val="24"/>
          <w:szCs w:val="24"/>
        </w:rPr>
      </w:pPr>
      <w:r w:rsidRPr="004F6527">
        <w:rPr>
          <w:sz w:val="24"/>
          <w:szCs w:val="24"/>
          <w:u w:val="single"/>
        </w:rPr>
        <w:t>Roheline.ee</w:t>
      </w:r>
      <w:r w:rsidRPr="004F6527" w:rsidR="005F247A">
        <w:rPr>
          <w:sz w:val="24"/>
          <w:szCs w:val="24"/>
        </w:rPr>
        <w:t xml:space="preserve">: Praktiline käsiraamat </w:t>
      </w:r>
      <w:proofErr w:type="spellStart"/>
      <w:r w:rsidRPr="004F6527" w:rsidR="005F247A">
        <w:rPr>
          <w:sz w:val="24"/>
          <w:szCs w:val="24"/>
        </w:rPr>
        <w:t>keskkonnasobralike</w:t>
      </w:r>
      <w:proofErr w:type="spellEnd"/>
      <w:r w:rsidRPr="004F6527" w:rsidR="005F247A">
        <w:rPr>
          <w:sz w:val="24"/>
          <w:szCs w:val="24"/>
        </w:rPr>
        <w:t xml:space="preserve"> ürituste ja kokkusaamiste korraldamiseks Tartus</w:t>
      </w:r>
      <w:r w:rsidRPr="004F6527">
        <w:rPr>
          <w:sz w:val="24"/>
          <w:szCs w:val="24"/>
        </w:rPr>
        <w:t xml:space="preserve">, kättesaadav lingilt: </w:t>
      </w:r>
      <w:hyperlink w:history="1" r:id="rId20">
        <w:r w:rsidRPr="004F6527">
          <w:rPr>
            <w:rStyle w:val="Hyperlink"/>
            <w:sz w:val="24"/>
            <w:szCs w:val="24"/>
          </w:rPr>
          <w:t>https://www.roheline.ee/userfiles/file/publikatsioonid/Kasiraamat_Keskkonnasobralike_urituste_ja_kokkusaamiste_korraldamine_Tartus.pdf</w:t>
        </w:r>
      </w:hyperlink>
      <w:r w:rsidRPr="004F6527">
        <w:rPr>
          <w:sz w:val="24"/>
          <w:szCs w:val="24"/>
        </w:rPr>
        <w:t xml:space="preserve"> </w:t>
      </w:r>
    </w:p>
    <w:sectPr w:rsidRPr="004F6527" w:rsidR="0037084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3D13" w:rsidP="00CE3D13" w:rsidRDefault="00CE3D13" w14:paraId="12E059D9" w14:textId="77777777">
      <w:pPr>
        <w:spacing w:after="0" w:line="240" w:lineRule="auto"/>
      </w:pPr>
      <w:r>
        <w:separator/>
      </w:r>
    </w:p>
  </w:endnote>
  <w:endnote w:type="continuationSeparator" w:id="0">
    <w:p w:rsidR="00CE3D13" w:rsidP="00CE3D13" w:rsidRDefault="00CE3D13" w14:paraId="0DADAA7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3D13" w:rsidP="00CE3D13" w:rsidRDefault="00CE3D13" w14:paraId="707B2F7C" w14:textId="77777777">
      <w:pPr>
        <w:spacing w:after="0" w:line="240" w:lineRule="auto"/>
      </w:pPr>
      <w:r>
        <w:separator/>
      </w:r>
    </w:p>
  </w:footnote>
  <w:footnote w:type="continuationSeparator" w:id="0">
    <w:p w:rsidR="00CE3D13" w:rsidP="00CE3D13" w:rsidRDefault="00CE3D13" w14:paraId="75D3F68D" w14:textId="77777777">
      <w:pPr>
        <w:spacing w:after="0" w:line="240" w:lineRule="auto"/>
      </w:pPr>
      <w:r>
        <w:continuationSeparator/>
      </w:r>
    </w:p>
  </w:footnote>
  <w:footnote w:id="1">
    <w:p w:rsidR="000179AD" w:rsidRDefault="000179AD" w14:paraId="7262CBF4" w14:textId="63680E03">
      <w:pPr>
        <w:pStyle w:val="FootnoteText"/>
      </w:pPr>
      <w:r>
        <w:rPr>
          <w:rStyle w:val="FootnoteReference"/>
        </w:rPr>
        <w:footnoteRef/>
      </w:r>
      <w:r>
        <w:t xml:space="preserve"> </w:t>
      </w:r>
      <w:hyperlink w:history="1" w:anchor="d1e1827-13-1" r:id="rId1">
        <w:r w:rsidRPr="00B1671A">
          <w:rPr>
            <w:rStyle w:val="Hyperlink"/>
          </w:rPr>
          <w:t>https://eur-lex.europa.eu/legal-content/ET/TXT/?uri=CELEX:32020R0852#d1e1827-13-1</w:t>
        </w:r>
      </w:hyperlink>
      <w:r>
        <w:t xml:space="preserve"> </w:t>
      </w:r>
    </w:p>
  </w:footnote>
  <w:footnote w:id="2">
    <w:p w:rsidR="000179AD" w:rsidRDefault="000179AD" w14:paraId="39FFAE81" w14:textId="5A864107">
      <w:pPr>
        <w:pStyle w:val="FootnoteText"/>
      </w:pPr>
      <w:r>
        <w:rPr>
          <w:rStyle w:val="FootnoteReference"/>
        </w:rPr>
        <w:footnoteRef/>
      </w:r>
      <w:r>
        <w:t xml:space="preserve"> </w:t>
      </w:r>
      <w:hyperlink w:history="1" r:id="rId2">
        <w:r w:rsidRPr="00B1671A">
          <w:rPr>
            <w:rStyle w:val="Hyperlink"/>
          </w:rPr>
          <w:t>https://eur-lex.europa.eu/legal-content/ET/TXT/?uri=CELEX:32021R1060</w:t>
        </w:r>
      </w:hyperlink>
      <w:r>
        <w:t xml:space="preserve"> </w:t>
      </w:r>
    </w:p>
  </w:footnote>
  <w:footnote w:id="3">
    <w:p w:rsidR="000179AD" w:rsidRDefault="000179AD" w14:paraId="32D6F410" w14:textId="6288DA80">
      <w:pPr>
        <w:pStyle w:val="FootnoteText"/>
      </w:pPr>
      <w:r>
        <w:rPr>
          <w:rStyle w:val="FootnoteReference"/>
        </w:rPr>
        <w:footnoteRef/>
      </w:r>
      <w:r>
        <w:t xml:space="preserve"> </w:t>
      </w:r>
      <w:hyperlink w:history="1" r:id="rId3">
        <w:r w:rsidRPr="00B1671A">
          <w:rPr>
            <w:rStyle w:val="Hyperlink"/>
          </w:rPr>
          <w:t>https://eur-lex.europa.eu/legal-content/ET/TXT/?uri=CELEX%3A12012E%2FTXT&amp;qid=1678111260260</w:t>
        </w:r>
      </w:hyperlink>
      <w:r>
        <w:t xml:space="preserve"> </w:t>
      </w:r>
    </w:p>
  </w:footnote>
  <w:footnote w:id="4">
    <w:p w:rsidR="000179AD" w:rsidRDefault="000179AD" w14:paraId="45DB900D" w14:textId="7797C548">
      <w:pPr>
        <w:pStyle w:val="FootnoteText"/>
      </w:pPr>
      <w:r>
        <w:rPr>
          <w:rStyle w:val="FootnoteReference"/>
        </w:rPr>
        <w:footnoteRef/>
      </w:r>
      <w:r>
        <w:t xml:space="preserve"> </w:t>
      </w:r>
      <w:hyperlink w:history="1" r:id="rId4">
        <w:r w:rsidRPr="00B1671A">
          <w:rPr>
            <w:rStyle w:val="Hyperlink"/>
          </w:rPr>
          <w:t>https://sdgs.un.org/goals</w:t>
        </w:r>
      </w:hyperlink>
      <w:r>
        <w:t xml:space="preserve"> </w:t>
      </w:r>
    </w:p>
  </w:footnote>
  <w:footnote w:id="5">
    <w:p w:rsidR="000179AD" w:rsidRDefault="000179AD" w14:paraId="64B0E42C" w14:textId="04EE9FAE">
      <w:pPr>
        <w:pStyle w:val="FootnoteText"/>
      </w:pPr>
      <w:r>
        <w:rPr>
          <w:rStyle w:val="FootnoteReference"/>
        </w:rPr>
        <w:footnoteRef/>
      </w:r>
      <w:r>
        <w:t xml:space="preserve"> </w:t>
      </w:r>
      <w:hyperlink w:history="1" r:id="rId5">
        <w:r w:rsidRPr="00B1671A">
          <w:rPr>
            <w:rStyle w:val="Hyperlink"/>
          </w:rPr>
          <w:t>https://www.consilium.europa.eu/et/infographics/paris-agreement-eu/</w:t>
        </w:r>
      </w:hyperlink>
      <w:r>
        <w:t xml:space="preserve"> </w:t>
      </w:r>
    </w:p>
  </w:footnote>
  <w:footnote w:id="6">
    <w:p w:rsidR="000179AD" w:rsidP="000179AD" w:rsidRDefault="000179AD" w14:paraId="141F7D50" w14:textId="77777777">
      <w:pPr>
        <w:pStyle w:val="FootnoteText"/>
      </w:pPr>
      <w:r>
        <w:rPr>
          <w:rStyle w:val="FootnoteReference"/>
        </w:rPr>
        <w:footnoteRef/>
      </w:r>
      <w:r>
        <w:t xml:space="preserve"> </w:t>
      </w:r>
      <w:hyperlink w:history="1" r:id="rId6">
        <w:r w:rsidRPr="00B1671A">
          <w:rPr>
            <w:rStyle w:val="Hyperlink"/>
          </w:rPr>
          <w:t>https://www.riigiteataja.ee/akt/102072021013</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C11D6"/>
    <w:multiLevelType w:val="multilevel"/>
    <w:tmpl w:val="6AB03838"/>
    <w:lvl w:ilvl="0">
      <w:start w:val="1"/>
      <w:numFmt w:val="decimal"/>
      <w:lvlText w:val="%1."/>
      <w:lvlJc w:val="left"/>
      <w:pPr>
        <w:ind w:left="360"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1" w15:restartNumberingAfterBreak="0">
    <w:nsid w:val="2BE769A7"/>
    <w:multiLevelType w:val="hybridMultilevel"/>
    <w:tmpl w:val="CF1C128A"/>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 w15:restartNumberingAfterBreak="0">
    <w:nsid w:val="2FDC37CC"/>
    <w:multiLevelType w:val="hybridMultilevel"/>
    <w:tmpl w:val="C38C8552"/>
    <w:lvl w:ilvl="0" w:tplc="04250001">
      <w:numFmt w:val="bullet"/>
      <w:lvlText w:val=""/>
      <w:lvlJc w:val="left"/>
      <w:pPr>
        <w:ind w:left="720" w:hanging="360"/>
      </w:pPr>
      <w:rPr>
        <w:rFonts w:hint="default" w:ascii="Symbol" w:hAnsi="Symbol" w:eastAsia="Times New Roman" w:cs="Times New Roman"/>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3" w15:restartNumberingAfterBreak="0">
    <w:nsid w:val="52902BC7"/>
    <w:multiLevelType w:val="hybridMultilevel"/>
    <w:tmpl w:val="00B0E0CA"/>
    <w:lvl w:ilvl="0" w:tplc="05FC06B0">
      <w:start w:val="4"/>
      <w:numFmt w:val="decimal"/>
      <w:lvlText w:val="%1-"/>
      <w:lvlJc w:val="left"/>
      <w:pPr>
        <w:ind w:left="717" w:hanging="360"/>
      </w:pPr>
      <w:rPr>
        <w:rFonts w:hint="default"/>
      </w:rPr>
    </w:lvl>
    <w:lvl w:ilvl="1" w:tplc="04250019" w:tentative="1">
      <w:start w:val="1"/>
      <w:numFmt w:val="lowerLetter"/>
      <w:lvlText w:val="%2."/>
      <w:lvlJc w:val="left"/>
      <w:pPr>
        <w:ind w:left="1437" w:hanging="360"/>
      </w:pPr>
    </w:lvl>
    <w:lvl w:ilvl="2" w:tplc="0425001B" w:tentative="1">
      <w:start w:val="1"/>
      <w:numFmt w:val="lowerRoman"/>
      <w:lvlText w:val="%3."/>
      <w:lvlJc w:val="right"/>
      <w:pPr>
        <w:ind w:left="2157" w:hanging="180"/>
      </w:pPr>
    </w:lvl>
    <w:lvl w:ilvl="3" w:tplc="0425000F" w:tentative="1">
      <w:start w:val="1"/>
      <w:numFmt w:val="decimal"/>
      <w:lvlText w:val="%4."/>
      <w:lvlJc w:val="left"/>
      <w:pPr>
        <w:ind w:left="2877" w:hanging="360"/>
      </w:pPr>
    </w:lvl>
    <w:lvl w:ilvl="4" w:tplc="04250019" w:tentative="1">
      <w:start w:val="1"/>
      <w:numFmt w:val="lowerLetter"/>
      <w:lvlText w:val="%5."/>
      <w:lvlJc w:val="left"/>
      <w:pPr>
        <w:ind w:left="3597" w:hanging="360"/>
      </w:pPr>
    </w:lvl>
    <w:lvl w:ilvl="5" w:tplc="0425001B" w:tentative="1">
      <w:start w:val="1"/>
      <w:numFmt w:val="lowerRoman"/>
      <w:lvlText w:val="%6."/>
      <w:lvlJc w:val="right"/>
      <w:pPr>
        <w:ind w:left="4317" w:hanging="180"/>
      </w:pPr>
    </w:lvl>
    <w:lvl w:ilvl="6" w:tplc="0425000F" w:tentative="1">
      <w:start w:val="1"/>
      <w:numFmt w:val="decimal"/>
      <w:lvlText w:val="%7."/>
      <w:lvlJc w:val="left"/>
      <w:pPr>
        <w:ind w:left="5037" w:hanging="360"/>
      </w:pPr>
    </w:lvl>
    <w:lvl w:ilvl="7" w:tplc="04250019" w:tentative="1">
      <w:start w:val="1"/>
      <w:numFmt w:val="lowerLetter"/>
      <w:lvlText w:val="%8."/>
      <w:lvlJc w:val="left"/>
      <w:pPr>
        <w:ind w:left="5757" w:hanging="360"/>
      </w:pPr>
    </w:lvl>
    <w:lvl w:ilvl="8" w:tplc="0425001B" w:tentative="1">
      <w:start w:val="1"/>
      <w:numFmt w:val="lowerRoman"/>
      <w:lvlText w:val="%9."/>
      <w:lvlJc w:val="right"/>
      <w:pPr>
        <w:ind w:left="6477" w:hanging="180"/>
      </w:pPr>
    </w:lvl>
  </w:abstractNum>
  <w:abstractNum w:abstractNumId="4" w15:restartNumberingAfterBreak="0">
    <w:nsid w:val="5F212D6F"/>
    <w:multiLevelType w:val="hybridMultilevel"/>
    <w:tmpl w:val="883E2BB0"/>
    <w:lvl w:ilvl="0" w:tplc="008086DE">
      <w:start w:val="1"/>
      <w:numFmt w:val="lowerLetter"/>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num w:numId="1" w16cid:durableId="2008747101">
    <w:abstractNumId w:val="2"/>
  </w:num>
  <w:num w:numId="2" w16cid:durableId="1893882690">
    <w:abstractNumId w:val="0"/>
  </w:num>
  <w:num w:numId="3" w16cid:durableId="631642010">
    <w:abstractNumId w:val="3"/>
  </w:num>
  <w:num w:numId="4" w16cid:durableId="1888562985">
    <w:abstractNumId w:val="4"/>
  </w:num>
  <w:num w:numId="5" w16cid:durableId="805395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425"/>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D13"/>
    <w:rsid w:val="000179AD"/>
    <w:rsid w:val="000608B6"/>
    <w:rsid w:val="00067539"/>
    <w:rsid w:val="000B2927"/>
    <w:rsid w:val="000C072F"/>
    <w:rsid w:val="000D6FCE"/>
    <w:rsid w:val="00110023"/>
    <w:rsid w:val="00110689"/>
    <w:rsid w:val="0011660D"/>
    <w:rsid w:val="00127A18"/>
    <w:rsid w:val="00191E18"/>
    <w:rsid w:val="001A47EC"/>
    <w:rsid w:val="001B28A5"/>
    <w:rsid w:val="002405C3"/>
    <w:rsid w:val="00242B14"/>
    <w:rsid w:val="002437E0"/>
    <w:rsid w:val="002460AA"/>
    <w:rsid w:val="00263F5A"/>
    <w:rsid w:val="00264CE7"/>
    <w:rsid w:val="00276818"/>
    <w:rsid w:val="00285CF8"/>
    <w:rsid w:val="002A4D7F"/>
    <w:rsid w:val="002A55E9"/>
    <w:rsid w:val="002B7E56"/>
    <w:rsid w:val="002C7299"/>
    <w:rsid w:val="00340B42"/>
    <w:rsid w:val="00343A0C"/>
    <w:rsid w:val="003501AC"/>
    <w:rsid w:val="00353086"/>
    <w:rsid w:val="00365E15"/>
    <w:rsid w:val="00370841"/>
    <w:rsid w:val="00391E3C"/>
    <w:rsid w:val="00392C42"/>
    <w:rsid w:val="003E116D"/>
    <w:rsid w:val="003E40F4"/>
    <w:rsid w:val="003F32CB"/>
    <w:rsid w:val="004029EE"/>
    <w:rsid w:val="004160AB"/>
    <w:rsid w:val="00420050"/>
    <w:rsid w:val="00436BAD"/>
    <w:rsid w:val="00436E68"/>
    <w:rsid w:val="00441CEE"/>
    <w:rsid w:val="00444182"/>
    <w:rsid w:val="00466A85"/>
    <w:rsid w:val="00480A7D"/>
    <w:rsid w:val="004F6527"/>
    <w:rsid w:val="0050326E"/>
    <w:rsid w:val="00575E8C"/>
    <w:rsid w:val="005817F7"/>
    <w:rsid w:val="00586F8D"/>
    <w:rsid w:val="005A1757"/>
    <w:rsid w:val="005E0F88"/>
    <w:rsid w:val="005F247A"/>
    <w:rsid w:val="00631869"/>
    <w:rsid w:val="0064474D"/>
    <w:rsid w:val="00676260"/>
    <w:rsid w:val="00681194"/>
    <w:rsid w:val="007012D3"/>
    <w:rsid w:val="00705EF6"/>
    <w:rsid w:val="00707656"/>
    <w:rsid w:val="00714A7F"/>
    <w:rsid w:val="00754888"/>
    <w:rsid w:val="00781859"/>
    <w:rsid w:val="007D39DC"/>
    <w:rsid w:val="007F53C6"/>
    <w:rsid w:val="0082593B"/>
    <w:rsid w:val="00876635"/>
    <w:rsid w:val="00881749"/>
    <w:rsid w:val="00887FDA"/>
    <w:rsid w:val="00891968"/>
    <w:rsid w:val="00904D4B"/>
    <w:rsid w:val="009108BF"/>
    <w:rsid w:val="00912BFF"/>
    <w:rsid w:val="00944C4C"/>
    <w:rsid w:val="00986827"/>
    <w:rsid w:val="00992DFA"/>
    <w:rsid w:val="009953ED"/>
    <w:rsid w:val="009D713F"/>
    <w:rsid w:val="00A021F0"/>
    <w:rsid w:val="00A02A12"/>
    <w:rsid w:val="00A20F12"/>
    <w:rsid w:val="00A25953"/>
    <w:rsid w:val="00A31734"/>
    <w:rsid w:val="00A81B9C"/>
    <w:rsid w:val="00A826CE"/>
    <w:rsid w:val="00AE688F"/>
    <w:rsid w:val="00B0679A"/>
    <w:rsid w:val="00B069A0"/>
    <w:rsid w:val="00B073CE"/>
    <w:rsid w:val="00B25A4F"/>
    <w:rsid w:val="00B41EAC"/>
    <w:rsid w:val="00B65802"/>
    <w:rsid w:val="00B65B32"/>
    <w:rsid w:val="00B83969"/>
    <w:rsid w:val="00BB1996"/>
    <w:rsid w:val="00BD34AA"/>
    <w:rsid w:val="00C55F6B"/>
    <w:rsid w:val="00C77BB1"/>
    <w:rsid w:val="00C96EF8"/>
    <w:rsid w:val="00CB37B5"/>
    <w:rsid w:val="00CC2CC5"/>
    <w:rsid w:val="00CC3B06"/>
    <w:rsid w:val="00CD3AA6"/>
    <w:rsid w:val="00CE3D13"/>
    <w:rsid w:val="00D06857"/>
    <w:rsid w:val="00D1407C"/>
    <w:rsid w:val="00D142CD"/>
    <w:rsid w:val="00D30F78"/>
    <w:rsid w:val="00D44FD7"/>
    <w:rsid w:val="00D5548D"/>
    <w:rsid w:val="00D61BF5"/>
    <w:rsid w:val="00D874E8"/>
    <w:rsid w:val="00DF68A6"/>
    <w:rsid w:val="00E368B3"/>
    <w:rsid w:val="00E56E3D"/>
    <w:rsid w:val="00F514D6"/>
    <w:rsid w:val="00F546F8"/>
    <w:rsid w:val="00FE71A6"/>
    <w:rsid w:val="60AED27D"/>
    <w:rsid w:val="749AB23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CF9BD"/>
  <w15:chartTrackingRefBased/>
  <w15:docId w15:val="{EA93E466-02BB-4EE2-B05A-03C3F733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CE3D13"/>
    <w:pPr>
      <w:spacing w:before="100" w:beforeAutospacing="1" w:after="100" w:afterAutospacing="1" w:line="240" w:lineRule="auto"/>
    </w:pPr>
    <w:rPr>
      <w:rFonts w:ascii="Times New Roman" w:hAnsi="Times New Roman" w:eastAsia="Times New Roman" w:cs="Times New Roman"/>
      <w:sz w:val="24"/>
      <w:szCs w:val="24"/>
      <w:lang w:eastAsia="et-EE"/>
    </w:rPr>
  </w:style>
  <w:style w:type="character" w:styleId="Hyperlink">
    <w:name w:val="Hyperlink"/>
    <w:basedOn w:val="DefaultParagraphFont"/>
    <w:uiPriority w:val="99"/>
    <w:unhideWhenUsed/>
    <w:rsid w:val="00CE3D13"/>
    <w:rPr>
      <w:color w:val="0563C1" w:themeColor="hyperlink"/>
      <w:u w:val="single"/>
    </w:rPr>
  </w:style>
  <w:style w:type="character" w:styleId="FollowedHyperlink">
    <w:name w:val="FollowedHyperlink"/>
    <w:basedOn w:val="DefaultParagraphFont"/>
    <w:uiPriority w:val="99"/>
    <w:semiHidden/>
    <w:unhideWhenUsed/>
    <w:rsid w:val="00CE3D13"/>
    <w:rPr>
      <w:color w:val="954F72" w:themeColor="followedHyperlink"/>
      <w:u w:val="single"/>
    </w:rPr>
  </w:style>
  <w:style w:type="paragraph" w:styleId="FootnoteText">
    <w:name w:val="footnote text"/>
    <w:basedOn w:val="Normal"/>
    <w:link w:val="FootnoteTextChar"/>
    <w:uiPriority w:val="99"/>
    <w:semiHidden/>
    <w:unhideWhenUsed/>
    <w:rsid w:val="00CE3D1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E3D13"/>
    <w:rPr>
      <w:sz w:val="20"/>
      <w:szCs w:val="20"/>
    </w:rPr>
  </w:style>
  <w:style w:type="character" w:styleId="FootnoteReference">
    <w:name w:val="footnote reference"/>
    <w:basedOn w:val="DefaultParagraphFont"/>
    <w:uiPriority w:val="99"/>
    <w:semiHidden/>
    <w:unhideWhenUsed/>
    <w:rsid w:val="00CE3D13"/>
    <w:rPr>
      <w:vertAlign w:val="superscript"/>
    </w:rPr>
  </w:style>
  <w:style w:type="character" w:styleId="UnresolvedMention">
    <w:name w:val="Unresolved Mention"/>
    <w:basedOn w:val="DefaultParagraphFont"/>
    <w:uiPriority w:val="99"/>
    <w:semiHidden/>
    <w:unhideWhenUsed/>
    <w:rsid w:val="000179AD"/>
    <w:rPr>
      <w:color w:val="605E5C"/>
      <w:shd w:val="clear" w:color="auto" w:fill="E1DFDD"/>
    </w:rPr>
  </w:style>
  <w:style w:type="paragraph" w:styleId="ListParagraph">
    <w:name w:val="List Paragraph"/>
    <w:basedOn w:val="Normal"/>
    <w:uiPriority w:val="34"/>
    <w:qFormat/>
    <w:rsid w:val="00353086"/>
    <w:pPr>
      <w:ind w:left="720"/>
      <w:contextualSpacing/>
    </w:pPr>
  </w:style>
  <w:style w:type="paragraph" w:styleId="Header">
    <w:name w:val="header"/>
    <w:basedOn w:val="Normal"/>
    <w:link w:val="HeaderChar"/>
    <w:uiPriority w:val="99"/>
    <w:semiHidden/>
    <w:unhideWhenUsed/>
    <w:rsid w:val="00392C42"/>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392C42"/>
  </w:style>
  <w:style w:type="paragraph" w:styleId="Footer">
    <w:name w:val="footer"/>
    <w:basedOn w:val="Normal"/>
    <w:link w:val="FooterChar"/>
    <w:uiPriority w:val="99"/>
    <w:semiHidden/>
    <w:unhideWhenUsed/>
    <w:rsid w:val="00392C42"/>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392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bioneer.ee/keskkonnas%C3%B5braliku-%C3%BCrituse-korraldamise-juhend-sai-valmis"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eur-lex.europa.eu/legal-content/EN-ET/TXT/?from=EN&amp;uri=CELEX%3A32020R0852&amp;qid=1661326899344" TargetMode="External" Id="rId12" /><Relationship Type="http://schemas.openxmlformats.org/officeDocument/2006/relationships/hyperlink" Target="https://www.riigiteataja.ee/akt/102072021013" TargetMode="External" Id="rId17" /><Relationship Type="http://schemas.openxmlformats.org/officeDocument/2006/relationships/customXml" Target="../customXml/item2.xml" Id="rId2" /><Relationship Type="http://schemas.openxmlformats.org/officeDocument/2006/relationships/hyperlink" Target="https://www.roheline.ee/userfiles/file/publikatsioonid/Kasiraamat_Keskkonnasobralike_urituste_ja_kokkusaamiste_korraldamine_Tartus.pdf"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hyperlink" Target="https://tartu2024.ee/ellujaamise-kunstid/keskkonnajuhend"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22" /><Relationship Type="http://schemas.openxmlformats.org/officeDocument/2006/relationships/hyperlink" Target="https://eur-lex.europa.eu/legal-content/ET/TXT/?uri=CELEX:32021R1060" TargetMode="External" Id="R601780c0e6f9473c" /><Relationship Type="http://schemas.openxmlformats.org/officeDocument/2006/relationships/hyperlink" Target="https://eur-lex.europa.eu/legal-content/ET/TXT/?uri=CELEX%3A12012E%2FTXT&amp;qid=1678111260260" TargetMode="External" Id="R9ee2ffda37e44935" /><Relationship Type="http://schemas.openxmlformats.org/officeDocument/2006/relationships/hyperlink" Target="https://sdgs.un.org/goals" TargetMode="External" Id="Rada6c3ce821a433d" /><Relationship Type="http://schemas.openxmlformats.org/officeDocument/2006/relationships/hyperlink" Target="https://www.consilium.europa.eu/et/infographics/paris-agreement-eu/" TargetMode="External" Id="Rdc61f01f198a448d"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T/TXT/?uri=CELEX%3A12012E%2FTXT&amp;qid=1678111260260" TargetMode="External"/><Relationship Id="rId2" Type="http://schemas.openxmlformats.org/officeDocument/2006/relationships/hyperlink" Target="https://eur-lex.europa.eu/legal-content/ET/TXT/?uri=CELEX:32021R1060" TargetMode="External"/><Relationship Id="rId1" Type="http://schemas.openxmlformats.org/officeDocument/2006/relationships/hyperlink" Target="https://eur-lex.europa.eu/legal-content/ET/TXT/?uri=CELEX:32020R0852" TargetMode="External"/><Relationship Id="rId6" Type="http://schemas.openxmlformats.org/officeDocument/2006/relationships/hyperlink" Target="https://www.riigiteataja.ee/akt/102072021013" TargetMode="External"/><Relationship Id="rId5" Type="http://schemas.openxmlformats.org/officeDocument/2006/relationships/hyperlink" Target="https://www.consilium.europa.eu/et/infographics/paris-agreement-eu/" TargetMode="External"/><Relationship Id="rId4" Type="http://schemas.openxmlformats.org/officeDocument/2006/relationships/hyperlink" Target="https://sdgs.un.org/goals" TargetMode="External"/></Relationships>
</file>

<file path=word/theme/theme1.xml><?xml version="1.0" encoding="utf-8"?>
<a:theme xmlns:a="http://schemas.openxmlformats.org/drawingml/2006/main" xmlns:thm15="http://schemas.microsoft.com/office/thememl/2012/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CF953818B1A4EA936A47C8C9D301D" ma:contentTypeVersion="15" ma:contentTypeDescription="Create a new document." ma:contentTypeScope="" ma:versionID="f27386e37c43b2347e4c002531315d3d">
  <xsd:schema xmlns:xsd="http://www.w3.org/2001/XMLSchema" xmlns:xs="http://www.w3.org/2001/XMLSchema" xmlns:p="http://schemas.microsoft.com/office/2006/metadata/properties" xmlns:ns2="b29866c1-e67a-4224-95ce-8d0ff34292f6" xmlns:ns3="9795287b-9caa-4b69-8fcb-32f124c73ff7" targetNamespace="http://schemas.microsoft.com/office/2006/metadata/properties" ma:root="true" ma:fieldsID="51b8074ac9628924c8fbe35b4726d37a" ns2:_="" ns3:_="">
    <xsd:import namespace="b29866c1-e67a-4224-95ce-8d0ff34292f6"/>
    <xsd:import namespace="9795287b-9caa-4b69-8fcb-32f124c73f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66c1-e67a-4224-95ce-8d0ff3429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723eb5-c2e1-47a5-b046-aabb93c2be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95287b-9caa-4b69-8fcb-32f124c73f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3d92f4-dfc8-4c10-9740-16b597ca1f62}" ma:internalName="TaxCatchAll" ma:showField="CatchAllData" ma:web="9795287b-9caa-4b69-8fcb-32f124c73ff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795287b-9caa-4b69-8fcb-32f124c73ff7" xsi:nil="true"/>
    <lcf76f155ced4ddcb4097134ff3c332f xmlns="b29866c1-e67a-4224-95ce-8d0ff34292f6">
      <Terms xmlns="http://schemas.microsoft.com/office/infopath/2007/PartnerControls"/>
    </lcf76f155ced4ddcb4097134ff3c332f>
    <_dlc_DocId xmlns="9795287b-9caa-4b69-8fcb-32f124c73ff7">N37PZ2QUEPFT-639719814-10544</_dlc_DocId>
    <_dlc_DocIdUrl xmlns="9795287b-9caa-4b69-8fcb-32f124c73ff7">
      <Url>https://haapconsulting.sharepoint.com/sites/HaapConsulting/_layouts/15/DocIdRedir.aspx?ID=N37PZ2QUEPFT-639719814-10544</Url>
      <Description>N37PZ2QUEPFT-639719814-10544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4EDA3-7260-4D34-A858-AFDD936BA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66c1-e67a-4224-95ce-8d0ff34292f6"/>
    <ds:schemaRef ds:uri="9795287b-9caa-4b69-8fcb-32f124c73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B7194-EC3C-4F48-BACC-6C11555CDAC5}">
  <ds:schemaRefs>
    <ds:schemaRef ds:uri="http://schemas.openxmlformats.org/officeDocument/2006/bibliography"/>
  </ds:schemaRefs>
</ds:datastoreItem>
</file>

<file path=customXml/itemProps3.xml><?xml version="1.0" encoding="utf-8"?>
<ds:datastoreItem xmlns:ds="http://schemas.openxmlformats.org/officeDocument/2006/customXml" ds:itemID="{388F82D9-2AAD-4824-8211-B7EE1360DA5A}">
  <ds:schemaRefs>
    <ds:schemaRef ds:uri="http://schemas.microsoft.com/office/2006/metadata/properties"/>
    <ds:schemaRef ds:uri="aff8a95a-bdca-4bd1-9f28-df5ebd643b89"/>
    <ds:schemaRef ds:uri="http://schemas.openxmlformats.org/package/2006/metadata/core-properties"/>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purl.org/dc/dcmitype/"/>
    <ds:schemaRef ds:uri="0c0c7f0a-cfff-4da3-bf4b-351368c4d1a1"/>
    <ds:schemaRef ds:uri="17076dea-e25b-4474-8f7c-aa2ee5cd0ad6"/>
    <ds:schemaRef ds:uri="08adef74-251f-42fc-9024-6df5c4e3f36b"/>
    <ds:schemaRef ds:uri="9795287b-9caa-4b69-8fcb-32f124c73ff7"/>
    <ds:schemaRef ds:uri="b29866c1-e67a-4224-95ce-8d0ff34292f6"/>
  </ds:schemaRefs>
</ds:datastoreItem>
</file>

<file path=customXml/itemProps4.xml><?xml version="1.0" encoding="utf-8"?>
<ds:datastoreItem xmlns:ds="http://schemas.openxmlformats.org/officeDocument/2006/customXml" ds:itemID="{60FC205B-B41F-46F2-9E81-D541EF801EF8}">
  <ds:schemaRefs>
    <ds:schemaRef ds:uri="http://schemas.microsoft.com/sharepoint/events"/>
  </ds:schemaRefs>
</ds:datastoreItem>
</file>

<file path=customXml/itemProps5.xml><?xml version="1.0" encoding="utf-8"?>
<ds:datastoreItem xmlns:ds="http://schemas.openxmlformats.org/officeDocument/2006/customXml" ds:itemID="{22642BF3-B057-49F1-B4F8-2959E82AC99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Natalja Tšikova</dc:creator>
  <keywords/>
  <dc:description/>
  <lastModifiedBy>Kristi Uusmaa</lastModifiedBy>
  <revision>77</revision>
  <dcterms:created xsi:type="dcterms:W3CDTF">2024-10-25T05:19:00.0000000Z</dcterms:created>
  <dcterms:modified xsi:type="dcterms:W3CDTF">2025-09-16T11:49:52.7532956Z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0x0101003F8CF953818B1A4EA936A47C8C9D301D</vt:lpwstr>
  </property>
  <property fmtid="{D5CDD505-2E9C-101B-9397-08002B2CF9AE}" pid="3" name="_dlc_DocIdItemGuid">
    <vt:lpwstr>dc3a5035-bb9b-4261-babb-67382c425de7</vt:lpwstr>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2024-10-25T05:19:40Z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78a9223d-4ab8-459f-b2f3-b7e0bf98da1a</vt:lpwstr>
  </property>
  <property fmtid="{D5CDD505-2E9C-101B-9397-08002B2CF9AE}" pid="11" name="MSIP_Label_defa4170-0d19-0005-0004-bc88714345d2_ContentBits">
    <vt:lpwstr>0</vt:lpwstr>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